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6E533">
      <w:pPr>
        <w:pStyle w:val="20"/>
        <w:adjustRightInd w:val="0"/>
        <w:snapToGrid w:val="0"/>
        <w:spacing w:before="0" w:beforeAutospacing="0" w:after="0" w:afterAutospacing="0" w:line="360" w:lineRule="auto"/>
        <w:jc w:val="center"/>
        <w:rPr>
          <w:rFonts w:hint="default" w:ascii="Times New Roman" w:hAnsi="Times New Roman" w:eastAsia="宋体" w:cs="Times New Roman"/>
          <w:b/>
          <w:sz w:val="30"/>
          <w:szCs w:val="30"/>
          <w:highlight w:val="none"/>
        </w:rPr>
      </w:pPr>
      <w:r>
        <w:rPr>
          <w:rFonts w:hint="default" w:ascii="Times New Roman" w:hAnsi="Times New Roman" w:eastAsia="宋体" w:cs="Times New Roman"/>
          <w:b/>
          <w:sz w:val="30"/>
          <w:szCs w:val="30"/>
          <w:highlight w:val="none"/>
          <w:lang w:val="en-US" w:eastAsia="zh-CN"/>
        </w:rPr>
        <w:t>招远市白天鹅加油站项目</w:t>
      </w:r>
      <w:r>
        <w:rPr>
          <w:rFonts w:hint="default" w:ascii="Times New Roman" w:hAnsi="Times New Roman" w:eastAsia="宋体" w:cs="Times New Roman"/>
          <w:b/>
          <w:sz w:val="30"/>
          <w:szCs w:val="30"/>
          <w:highlight w:val="none"/>
          <w:lang w:eastAsia="zh-CN"/>
        </w:rPr>
        <w:t>竣工环境保护验收</w:t>
      </w:r>
      <w:r>
        <w:rPr>
          <w:rFonts w:hint="default" w:ascii="Times New Roman" w:hAnsi="Times New Roman" w:eastAsia="宋体" w:cs="Times New Roman"/>
          <w:b/>
          <w:sz w:val="30"/>
          <w:szCs w:val="30"/>
          <w:highlight w:val="none"/>
          <w:lang w:val="en-US" w:eastAsia="zh-CN"/>
        </w:rPr>
        <w:t>工作组</w:t>
      </w:r>
      <w:r>
        <w:rPr>
          <w:rFonts w:hint="default" w:ascii="Times New Roman" w:hAnsi="Times New Roman" w:eastAsia="宋体" w:cs="Times New Roman"/>
          <w:b/>
          <w:sz w:val="30"/>
          <w:szCs w:val="30"/>
          <w:highlight w:val="none"/>
        </w:rPr>
        <w:t>意见</w:t>
      </w:r>
    </w:p>
    <w:p w14:paraId="7C4B2CEA">
      <w:pPr>
        <w:pStyle w:val="20"/>
        <w:adjustRightInd w:val="0"/>
        <w:snapToGrid w:val="0"/>
        <w:spacing w:before="0" w:beforeAutospacing="0" w:after="0" w:afterAutospacing="0" w:line="360" w:lineRule="auto"/>
        <w:ind w:firstLine="420" w:firstLineChars="200"/>
        <w:jc w:val="both"/>
        <w:rPr>
          <w:rFonts w:hint="default" w:ascii="Times New Roman" w:hAnsi="Times New Roman" w:eastAsia="宋体" w:cs="Times New Roman"/>
          <w:sz w:val="21"/>
          <w:szCs w:val="21"/>
          <w:highlight w:val="none"/>
        </w:rPr>
      </w:pPr>
    </w:p>
    <w:p w14:paraId="38DB0057">
      <w:pPr>
        <w:widowControl w:val="0"/>
        <w:adjustRightInd w:val="0"/>
        <w:snapToGrid w:val="0"/>
        <w:spacing w:after="0" w:line="360" w:lineRule="auto"/>
        <w:ind w:firstLine="480" w:firstLineChars="200"/>
        <w:jc w:val="both"/>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20</w:t>
      </w:r>
      <w:r>
        <w:rPr>
          <w:rFonts w:hint="default" w:ascii="Times New Roman" w:hAnsi="Times New Roman" w:eastAsia="宋体" w:cs="Times New Roman"/>
          <w:sz w:val="24"/>
          <w:szCs w:val="24"/>
          <w:highlight w:val="none"/>
          <w:lang w:val="en-US" w:eastAsia="zh-CN"/>
        </w:rPr>
        <w:t>25</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lang w:val="en-US" w:eastAsia="zh-CN"/>
        </w:rPr>
        <w:t>4</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4</w:t>
      </w:r>
      <w:r>
        <w:rPr>
          <w:rFonts w:hint="default" w:ascii="Times New Roman" w:hAnsi="Times New Roman" w:eastAsia="宋体" w:cs="Times New Roman"/>
          <w:sz w:val="24"/>
          <w:szCs w:val="24"/>
          <w:highlight w:val="none"/>
        </w:rPr>
        <w:t>日，</w:t>
      </w:r>
      <w:r>
        <w:rPr>
          <w:rFonts w:hint="default" w:ascii="Times New Roman" w:hAnsi="Times New Roman" w:eastAsia="宋体" w:cs="Times New Roman"/>
          <w:color w:val="000000"/>
          <w:sz w:val="24"/>
          <w:szCs w:val="24"/>
          <w:lang w:val="en-US" w:eastAsia="zh-CN"/>
        </w:rPr>
        <w:t>招远市</w:t>
      </w:r>
      <w:r>
        <w:rPr>
          <w:rFonts w:hint="default" w:ascii="Times New Roman" w:hAnsi="Times New Roman" w:eastAsia="宋体" w:cs="Times New Roman"/>
          <w:sz w:val="24"/>
          <w:szCs w:val="24"/>
          <w:highlight w:val="none"/>
          <w:lang w:val="en-US" w:eastAsia="zh-CN"/>
        </w:rPr>
        <w:t>白天鹅加油站</w:t>
      </w:r>
      <w:r>
        <w:rPr>
          <w:rFonts w:hint="default" w:ascii="Times New Roman" w:hAnsi="Times New Roman" w:eastAsia="宋体" w:cs="Times New Roman"/>
          <w:sz w:val="24"/>
          <w:szCs w:val="24"/>
          <w:highlight w:val="none"/>
        </w:rPr>
        <w:t>组织成立了“</w:t>
      </w:r>
      <w:r>
        <w:rPr>
          <w:rFonts w:hint="default" w:ascii="Times New Roman" w:hAnsi="Times New Roman" w:eastAsia="宋体" w:cs="Times New Roman"/>
          <w:color w:val="000000"/>
          <w:sz w:val="24"/>
          <w:szCs w:val="24"/>
          <w:lang w:val="en-US" w:eastAsia="zh-CN"/>
        </w:rPr>
        <w:t>招远市</w:t>
      </w:r>
      <w:r>
        <w:rPr>
          <w:rFonts w:hint="default" w:ascii="Times New Roman" w:hAnsi="Times New Roman" w:eastAsia="宋体" w:cs="Times New Roman"/>
          <w:sz w:val="24"/>
          <w:szCs w:val="24"/>
          <w:highlight w:val="none"/>
          <w:lang w:val="en-US" w:eastAsia="zh-CN"/>
        </w:rPr>
        <w:t>白天鹅加油站项目</w:t>
      </w:r>
      <w:r>
        <w:rPr>
          <w:rFonts w:hint="default" w:ascii="Times New Roman" w:hAnsi="Times New Roman" w:eastAsia="宋体" w:cs="Times New Roman"/>
          <w:sz w:val="24"/>
          <w:szCs w:val="24"/>
          <w:highlight w:val="none"/>
        </w:rPr>
        <w:t>”竣工环境保护验收工作组。验收工作组由建设单位-</w:t>
      </w:r>
      <w:r>
        <w:rPr>
          <w:rFonts w:hint="default" w:ascii="Times New Roman" w:hAnsi="Times New Roman" w:eastAsia="宋体" w:cs="Times New Roman"/>
          <w:color w:val="000000"/>
          <w:sz w:val="24"/>
          <w:szCs w:val="24"/>
          <w:lang w:val="en-US" w:eastAsia="zh-CN"/>
        </w:rPr>
        <w:t>招远市</w:t>
      </w:r>
      <w:r>
        <w:rPr>
          <w:rFonts w:hint="default" w:ascii="Times New Roman" w:hAnsi="Times New Roman" w:eastAsia="宋体" w:cs="Times New Roman"/>
          <w:sz w:val="24"/>
          <w:szCs w:val="24"/>
          <w:highlight w:val="none"/>
          <w:lang w:val="en-US" w:eastAsia="zh-CN"/>
        </w:rPr>
        <w:t>白天鹅加油站</w:t>
      </w:r>
      <w:r>
        <w:rPr>
          <w:rFonts w:hint="default" w:ascii="Times New Roman" w:hAnsi="Times New Roman" w:eastAsia="宋体" w:cs="Times New Roman"/>
          <w:sz w:val="24"/>
          <w:szCs w:val="24"/>
          <w:highlight w:val="none"/>
        </w:rPr>
        <w:t>、验收</w:t>
      </w:r>
      <w:r>
        <w:rPr>
          <w:rFonts w:hint="default" w:ascii="Times New Roman" w:hAnsi="Times New Roman" w:eastAsia="宋体" w:cs="Times New Roman"/>
          <w:sz w:val="24"/>
          <w:szCs w:val="24"/>
          <w:highlight w:val="none"/>
          <w:lang w:val="en-US" w:eastAsia="zh-CN"/>
        </w:rPr>
        <w:t>监测</w:t>
      </w:r>
      <w:r>
        <w:rPr>
          <w:rFonts w:hint="default" w:ascii="Times New Roman" w:hAnsi="Times New Roman" w:eastAsia="宋体" w:cs="Times New Roman"/>
          <w:sz w:val="24"/>
          <w:szCs w:val="24"/>
          <w:highlight w:val="none"/>
        </w:rPr>
        <w:t>单位-</w:t>
      </w:r>
      <w:r>
        <w:rPr>
          <w:rFonts w:hint="default" w:ascii="Times New Roman" w:hAnsi="Times New Roman" w:eastAsia="宋体" w:cs="Times New Roman"/>
          <w:sz w:val="24"/>
          <w:szCs w:val="24"/>
          <w:highlight w:val="none"/>
          <w:lang w:val="en-US" w:eastAsia="zh-CN"/>
        </w:rPr>
        <w:t>烟台鲁东分析测试</w:t>
      </w:r>
      <w:r>
        <w:rPr>
          <w:rFonts w:hint="default" w:ascii="Times New Roman" w:hAnsi="Times New Roman" w:eastAsia="宋体" w:cs="Times New Roman"/>
          <w:sz w:val="24"/>
          <w:szCs w:val="24"/>
          <w:highlight w:val="none"/>
        </w:rPr>
        <w:t>有限公司的代表和</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名专业技术专家组成（验收工作组名单附后）。</w:t>
      </w:r>
    </w:p>
    <w:p w14:paraId="2C1C9239">
      <w:pPr>
        <w:widowControl w:val="0"/>
        <w:adjustRightInd w:val="0"/>
        <w:snapToGrid w:val="0"/>
        <w:spacing w:after="0" w:line="360" w:lineRule="auto"/>
        <w:ind w:firstLine="480" w:firstLineChars="200"/>
        <w:jc w:val="both"/>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验收工作组听取了建设单位有关项目环境保护执行情况和</w:t>
      </w:r>
      <w:r>
        <w:rPr>
          <w:rFonts w:hint="default" w:ascii="Times New Roman" w:hAnsi="Times New Roman" w:eastAsia="宋体" w:cs="Times New Roman"/>
          <w:sz w:val="24"/>
          <w:szCs w:val="24"/>
          <w:highlight w:val="none"/>
          <w:lang w:val="en-US" w:eastAsia="zh-CN"/>
        </w:rPr>
        <w:t>监测</w:t>
      </w:r>
      <w:r>
        <w:rPr>
          <w:rFonts w:hint="default" w:ascii="Times New Roman" w:hAnsi="Times New Roman" w:eastAsia="宋体" w:cs="Times New Roman"/>
          <w:sz w:val="24"/>
          <w:szCs w:val="24"/>
          <w:highlight w:val="none"/>
        </w:rPr>
        <w:t>单位有关竣工环境保护验收监测情况的汇报，现场检查了工程及环保设施的建设、运行情况，审阅并核实了有关资料。根据《建设项目环境保护管理条例》和《建设项目竣工环境保护验收暂行办法》，依照国家有关法律法规、建设项目竣工环境保护验收技术规范等对本项目进行验收，形成验收意见如下：</w:t>
      </w:r>
    </w:p>
    <w:p w14:paraId="73D5EC62">
      <w:pPr>
        <w:pStyle w:val="20"/>
        <w:spacing w:before="0" w:beforeAutospacing="0" w:after="0" w:afterAutospacing="0" w:line="360" w:lineRule="auto"/>
        <w:ind w:firstLine="482" w:firstLineChars="200"/>
        <w:jc w:val="both"/>
        <w:outlineLvl w:val="0"/>
        <w:rPr>
          <w:rFonts w:hint="default" w:ascii="Times New Roman" w:hAnsi="Times New Roman" w:eastAsia="宋体" w:cs="Times New Roman"/>
          <w:b/>
          <w:highlight w:val="none"/>
        </w:rPr>
      </w:pPr>
      <w:r>
        <w:rPr>
          <w:rFonts w:hint="default" w:ascii="Times New Roman" w:hAnsi="Times New Roman" w:eastAsia="宋体" w:cs="Times New Roman"/>
          <w:b/>
          <w:highlight w:val="none"/>
        </w:rPr>
        <w:t>一、工程建设基本情况</w:t>
      </w:r>
    </w:p>
    <w:p w14:paraId="4401330E">
      <w:pPr>
        <w:pStyle w:val="20"/>
        <w:spacing w:before="0" w:beforeAutospacing="0" w:after="0" w:afterAutospacing="0" w:line="360" w:lineRule="auto"/>
        <w:ind w:firstLine="480" w:firstLineChars="200"/>
        <w:jc w:val="both"/>
        <w:outlineLvl w:val="0"/>
        <w:rPr>
          <w:rFonts w:hint="default" w:ascii="Times New Roman" w:hAnsi="Times New Roman" w:eastAsia="宋体" w:cs="Times New Roman"/>
          <w:highlight w:val="none"/>
        </w:rPr>
      </w:pPr>
      <w:r>
        <w:rPr>
          <w:rFonts w:hint="default" w:ascii="Times New Roman" w:hAnsi="Times New Roman" w:eastAsia="宋体" w:cs="Times New Roman"/>
          <w:highlight w:val="none"/>
        </w:rPr>
        <w:t>（一）建设地点、规模、主要建设内容</w:t>
      </w:r>
    </w:p>
    <w:p w14:paraId="5C6A8D0F">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招远市白天鹅加油站成立于2003年3月25日，位于山东省烟台市招远市夏甸镇小尹格庄村，法人代表王春山，经营范围：汽油、柴油（有效期限以许可证为准）、润滑油零售（依法须经批准的项目，经相关部门批准后方可开展经营活动）。因原址位于勾山水库水资源范围内，招远市白天鹅加油站由招远市夏甸镇新村搬迁至招远市夏甸镇小尹格庄村东，黄水路东，项目投资620万元，设置地埋式双层油罐5个，3个30m</w:t>
      </w:r>
      <w:r>
        <w:rPr>
          <w:rFonts w:hint="default" w:ascii="Times New Roman" w:hAnsi="Times New Roman" w:eastAsia="宋体" w:cs="Times New Roman"/>
          <w:color w:val="000000" w:themeColor="text1"/>
          <w:sz w:val="24"/>
          <w:szCs w:val="24"/>
          <w:vertAlign w:val="superscript"/>
          <w:lang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汽油罐，2个30m</w:t>
      </w:r>
      <w:r>
        <w:rPr>
          <w:rFonts w:hint="default" w:ascii="Times New Roman" w:hAnsi="Times New Roman" w:eastAsia="宋体" w:cs="Times New Roman"/>
          <w:color w:val="000000" w:themeColor="text1"/>
          <w:sz w:val="24"/>
          <w:szCs w:val="24"/>
          <w:vertAlign w:val="superscript"/>
          <w:lang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柴油罐，购置双枪加油机4台，其中汽油加油机2台，柴油加油机2台，进行汽油、柴油零售，年销售油量1800t，其中92#、95#汽油1200t，0#/、-10#柴油600t。</w:t>
      </w:r>
    </w:p>
    <w:p w14:paraId="633190A6">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
          <w:color w:val="FF0000"/>
          <w:sz w:val="24"/>
          <w:szCs w:val="24"/>
        </w:rPr>
      </w:pPr>
      <w:r>
        <w:rPr>
          <w:rFonts w:hint="default" w:ascii="Times New Roman" w:hAnsi="Times New Roman" w:eastAsia="宋体" w:cs="Times New Roman"/>
          <w:bCs/>
          <w:color w:val="000000" w:themeColor="text1"/>
          <w:sz w:val="24"/>
          <w:szCs w:val="24"/>
          <w14:textFill>
            <w14:solidFill>
              <w14:schemeClr w14:val="tx1"/>
            </w14:solidFill>
          </w14:textFill>
        </w:rPr>
        <w:t>本次验收包括环评</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报告表</w:t>
      </w:r>
      <w:r>
        <w:rPr>
          <w:rFonts w:hint="default" w:ascii="Times New Roman" w:hAnsi="Times New Roman" w:eastAsia="宋体" w:cs="Times New Roman"/>
          <w:bCs/>
          <w:color w:val="000000" w:themeColor="text1"/>
          <w:sz w:val="24"/>
          <w:szCs w:val="24"/>
          <w14:textFill>
            <w14:solidFill>
              <w14:schemeClr w14:val="tx1"/>
            </w14:solidFill>
          </w14:textFill>
        </w:rPr>
        <w:t>中的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全部内容</w:t>
      </w:r>
      <w:r>
        <w:rPr>
          <w:rFonts w:hint="default" w:ascii="Times New Roman" w:hAnsi="Times New Roman" w:eastAsia="宋体" w:cs="Times New Roman"/>
          <w:bCs/>
          <w:color w:val="000000" w:themeColor="text1"/>
          <w:sz w:val="24"/>
          <w:szCs w:val="24"/>
          <w14:textFill>
            <w14:solidFill>
              <w14:schemeClr w14:val="tx1"/>
            </w14:solidFill>
          </w14:textFill>
        </w:rPr>
        <w:t>。</w:t>
      </w:r>
    </w:p>
    <w:p w14:paraId="15A315D2">
      <w:pPr>
        <w:spacing w:after="0" w:line="360" w:lineRule="auto"/>
        <w:ind w:firstLine="480" w:firstLineChars="200"/>
        <w:jc w:val="both"/>
        <w:outlineLvl w:val="0"/>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（二）建设过程及环保审批情况</w:t>
      </w:r>
    </w:p>
    <w:p w14:paraId="4E21DBD5">
      <w:pPr>
        <w:spacing w:after="0"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本项目</w:t>
      </w:r>
      <w:r>
        <w:rPr>
          <w:rFonts w:hint="default" w:ascii="Times New Roman" w:hAnsi="Times New Roman" w:eastAsia="宋体" w:cs="Times New Roman"/>
          <w:color w:val="000000"/>
          <w:sz w:val="24"/>
          <w:szCs w:val="24"/>
          <w:lang w:val="en-US" w:eastAsia="zh-CN"/>
        </w:rPr>
        <w:t>于2019年6月10日取得了《远市白天鹅加油站项目环境影响报告表》的批复（招环报告表[2019]74号）。</w:t>
      </w:r>
    </w:p>
    <w:p w14:paraId="3B020D36">
      <w:pPr>
        <w:spacing w:after="0"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highlight w:val="none"/>
        </w:rPr>
        <w:t>本项目于20</w:t>
      </w:r>
      <w:r>
        <w:rPr>
          <w:rFonts w:hint="default" w:ascii="Times New Roman" w:hAnsi="Times New Roman" w:eastAsia="宋体" w:cs="Times New Roman"/>
          <w:sz w:val="24"/>
          <w:szCs w:val="24"/>
          <w:highlight w:val="none"/>
          <w:lang w:val="en-US" w:eastAsia="zh-CN"/>
        </w:rPr>
        <w:t>19年6月</w:t>
      </w:r>
      <w:r>
        <w:rPr>
          <w:rFonts w:hint="default" w:ascii="Times New Roman" w:hAnsi="Times New Roman" w:eastAsia="宋体" w:cs="Times New Roman"/>
          <w:sz w:val="24"/>
          <w:szCs w:val="24"/>
          <w:highlight w:val="none"/>
        </w:rPr>
        <w:t>开工建设，20</w:t>
      </w:r>
      <w:r>
        <w:rPr>
          <w:rFonts w:hint="default" w:ascii="Times New Roman" w:hAnsi="Times New Roman" w:eastAsia="宋体" w:cs="Times New Roman"/>
          <w:sz w:val="24"/>
          <w:szCs w:val="24"/>
          <w:highlight w:val="none"/>
          <w:lang w:val="en-US" w:eastAsia="zh-CN"/>
        </w:rPr>
        <w:t>23年11月</w:t>
      </w:r>
      <w:r>
        <w:rPr>
          <w:rFonts w:hint="default" w:ascii="Times New Roman" w:hAnsi="Times New Roman" w:eastAsia="宋体" w:cs="Times New Roman"/>
          <w:sz w:val="24"/>
          <w:szCs w:val="24"/>
          <w:highlight w:val="none"/>
        </w:rPr>
        <w:t>建设完成，202</w:t>
      </w:r>
      <w:r>
        <w:rPr>
          <w:rFonts w:hint="default" w:ascii="Times New Roman" w:hAnsi="Times New Roman" w:eastAsia="宋体" w:cs="Times New Roman"/>
          <w:sz w:val="24"/>
          <w:szCs w:val="24"/>
          <w:highlight w:val="none"/>
          <w:lang w:val="en-US" w:eastAsia="zh-CN"/>
        </w:rPr>
        <w:t>5年3月1日至2025年3月</w:t>
      </w:r>
      <w:r>
        <w:rPr>
          <w:rFonts w:hint="eastAsia" w:ascii="Times New Roman" w:hAnsi="Times New Roman" w:eastAsia="宋体" w:cs="Times New Roman"/>
          <w:sz w:val="24"/>
          <w:szCs w:val="24"/>
          <w:highlight w:val="none"/>
          <w:lang w:val="en-US" w:eastAsia="zh-CN"/>
        </w:rPr>
        <w:t>30</w:t>
      </w:r>
      <w:bookmarkStart w:id="0" w:name="_GoBack"/>
      <w:bookmarkEnd w:id="0"/>
      <w:r>
        <w:rPr>
          <w:rFonts w:hint="default" w:ascii="Times New Roman" w:hAnsi="Times New Roman" w:eastAsia="宋体" w:cs="Times New Roman"/>
          <w:sz w:val="24"/>
          <w:szCs w:val="24"/>
          <w:highlight w:val="none"/>
          <w:lang w:val="en-US" w:eastAsia="zh-CN"/>
        </w:rPr>
        <w:t>日</w:t>
      </w:r>
      <w:r>
        <w:rPr>
          <w:rFonts w:hint="default" w:ascii="Times New Roman" w:hAnsi="Times New Roman" w:eastAsia="宋体" w:cs="Times New Roman"/>
          <w:sz w:val="24"/>
          <w:szCs w:val="24"/>
          <w:highlight w:val="none"/>
        </w:rPr>
        <w:t>调试。企业已申请取得排污许可</w:t>
      </w:r>
      <w:r>
        <w:rPr>
          <w:rFonts w:hint="default" w:ascii="Times New Roman" w:hAnsi="Times New Roman" w:eastAsia="宋体" w:cs="Times New Roman"/>
          <w:sz w:val="24"/>
          <w:szCs w:val="24"/>
          <w:highlight w:val="none"/>
          <w:lang w:val="en-US" w:eastAsia="zh-CN"/>
        </w:rPr>
        <w:t>登记</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登记</w:t>
      </w:r>
      <w:r>
        <w:rPr>
          <w:rFonts w:hint="default" w:ascii="Times New Roman" w:hAnsi="Times New Roman" w:eastAsia="宋体" w:cs="Times New Roman"/>
          <w:sz w:val="24"/>
          <w:szCs w:val="24"/>
          <w:highlight w:val="none"/>
        </w:rPr>
        <w:t>编号：91370685747845968L001Y），有效期限：自20</w:t>
      </w:r>
      <w:r>
        <w:rPr>
          <w:rFonts w:hint="default" w:ascii="Times New Roman" w:hAnsi="Times New Roman" w:eastAsia="宋体" w:cs="Times New Roman"/>
          <w:sz w:val="24"/>
          <w:szCs w:val="24"/>
          <w:highlight w:val="none"/>
          <w:lang w:val="en-US" w:eastAsia="zh-CN"/>
        </w:rPr>
        <w:t>25</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rPr>
        <w:t>日至20</w:t>
      </w:r>
      <w:r>
        <w:rPr>
          <w:rFonts w:hint="default" w:ascii="Times New Roman" w:hAnsi="Times New Roman" w:eastAsia="宋体" w:cs="Times New Roman"/>
          <w:sz w:val="24"/>
          <w:szCs w:val="24"/>
          <w:highlight w:val="none"/>
          <w:lang w:val="en-US" w:eastAsia="zh-CN"/>
        </w:rPr>
        <w:t>30</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日止。</w:t>
      </w:r>
    </w:p>
    <w:p w14:paraId="2E4308E1">
      <w:pPr>
        <w:adjustRightInd/>
        <w:snapToGrid/>
        <w:spacing w:after="0" w:line="360" w:lineRule="auto"/>
        <w:ind w:firstLine="480" w:firstLineChars="200"/>
        <w:jc w:val="both"/>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color w:val="000000"/>
          <w:sz w:val="24"/>
          <w:szCs w:val="24"/>
          <w:lang w:val="en-US" w:eastAsia="zh-CN"/>
        </w:rPr>
        <w:t>招远市</w:t>
      </w:r>
      <w:r>
        <w:rPr>
          <w:rFonts w:hint="default" w:ascii="Times New Roman" w:hAnsi="Times New Roman" w:eastAsia="宋体" w:cs="Times New Roman"/>
          <w:color w:val="000000"/>
          <w:sz w:val="24"/>
          <w:szCs w:val="24"/>
          <w:lang w:eastAsia="zh-CN"/>
        </w:rPr>
        <w:t>白天鹅加油站</w:t>
      </w:r>
      <w:r>
        <w:rPr>
          <w:rFonts w:hint="default" w:ascii="Times New Roman" w:hAnsi="Times New Roman" w:eastAsia="宋体" w:cs="Times New Roman"/>
          <w:color w:val="000000"/>
          <w:sz w:val="24"/>
          <w:szCs w:val="24"/>
          <w:lang w:val="en-US" w:eastAsia="zh-CN"/>
        </w:rPr>
        <w:t>于</w:t>
      </w:r>
      <w:r>
        <w:rPr>
          <w:rFonts w:hint="default" w:ascii="Times New Roman" w:hAnsi="Times New Roman" w:eastAsia="宋体" w:cs="Times New Roman"/>
          <w:kern w:val="2"/>
          <w:sz w:val="24"/>
          <w:szCs w:val="24"/>
          <w:highlight w:val="none"/>
          <w:lang w:val="en-US" w:eastAsia="zh-CN"/>
        </w:rPr>
        <w:t>2025</w:t>
      </w:r>
      <w:r>
        <w:rPr>
          <w:rFonts w:hint="default" w:ascii="Times New Roman" w:hAnsi="Times New Roman" w:eastAsia="宋体" w:cs="Times New Roman"/>
          <w:kern w:val="2"/>
          <w:sz w:val="24"/>
          <w:szCs w:val="24"/>
          <w:highlight w:val="none"/>
        </w:rPr>
        <w:t>年</w:t>
      </w:r>
      <w:r>
        <w:rPr>
          <w:rFonts w:hint="default" w:ascii="Times New Roman" w:hAnsi="Times New Roman" w:eastAsia="宋体" w:cs="Times New Roman"/>
          <w:kern w:val="2"/>
          <w:sz w:val="24"/>
          <w:szCs w:val="24"/>
          <w:highlight w:val="none"/>
          <w:lang w:val="en-US" w:eastAsia="zh-CN"/>
        </w:rPr>
        <w:t>4</w:t>
      </w:r>
      <w:r>
        <w:rPr>
          <w:rFonts w:hint="default" w:ascii="Times New Roman" w:hAnsi="Times New Roman" w:eastAsia="宋体" w:cs="Times New Roman"/>
          <w:kern w:val="2"/>
          <w:sz w:val="24"/>
          <w:szCs w:val="24"/>
          <w:highlight w:val="none"/>
        </w:rPr>
        <w:t>月</w:t>
      </w:r>
      <w:r>
        <w:rPr>
          <w:rFonts w:hint="default" w:ascii="Times New Roman" w:hAnsi="Times New Roman" w:eastAsia="宋体" w:cs="Times New Roman"/>
          <w:kern w:val="2"/>
          <w:sz w:val="24"/>
          <w:szCs w:val="24"/>
          <w:highlight w:val="none"/>
          <w:lang w:val="en-US" w:eastAsia="zh-CN"/>
        </w:rPr>
        <w:t>开展</w:t>
      </w:r>
      <w:r>
        <w:rPr>
          <w:rFonts w:hint="default" w:ascii="Times New Roman" w:hAnsi="Times New Roman" w:eastAsia="宋体" w:cs="Times New Roman"/>
          <w:kern w:val="2"/>
          <w:sz w:val="24"/>
          <w:szCs w:val="24"/>
          <w:highlight w:val="none"/>
        </w:rPr>
        <w:t>对本项目</w:t>
      </w:r>
      <w:r>
        <w:rPr>
          <w:rFonts w:hint="default" w:ascii="Times New Roman" w:hAnsi="Times New Roman" w:eastAsia="宋体" w:cs="Times New Roman"/>
          <w:kern w:val="2"/>
          <w:sz w:val="24"/>
          <w:szCs w:val="24"/>
          <w:highlight w:val="none"/>
          <w:lang w:val="en-US" w:eastAsia="zh-CN"/>
        </w:rPr>
        <w:t>自主验收工作</w:t>
      </w:r>
      <w:r>
        <w:rPr>
          <w:rFonts w:hint="default" w:ascii="Times New Roman" w:hAnsi="Times New Roman" w:eastAsia="宋体" w:cs="Times New Roman"/>
          <w:kern w:val="2"/>
          <w:sz w:val="24"/>
          <w:szCs w:val="24"/>
          <w:highlight w:val="none"/>
        </w:rPr>
        <w:t>，根据检测结果和调查情况，</w:t>
      </w:r>
      <w:r>
        <w:rPr>
          <w:rFonts w:hint="default" w:ascii="Times New Roman" w:hAnsi="Times New Roman" w:eastAsia="宋体" w:cs="Times New Roman"/>
          <w:kern w:val="2"/>
          <w:sz w:val="24"/>
          <w:szCs w:val="24"/>
          <w:highlight w:val="none"/>
          <w:lang w:val="en-US" w:eastAsia="zh-CN"/>
        </w:rPr>
        <w:t>于2025年4月</w:t>
      </w:r>
      <w:r>
        <w:rPr>
          <w:rFonts w:hint="default" w:ascii="Times New Roman" w:hAnsi="Times New Roman" w:eastAsia="宋体" w:cs="Times New Roman"/>
          <w:kern w:val="2"/>
          <w:sz w:val="24"/>
          <w:szCs w:val="24"/>
          <w:highlight w:val="none"/>
        </w:rPr>
        <w:t>编制完成了本报告。</w:t>
      </w:r>
    </w:p>
    <w:p w14:paraId="75ECCC1B">
      <w:pPr>
        <w:tabs>
          <w:tab w:val="left" w:pos="4305"/>
        </w:tabs>
        <w:adjustRightInd/>
        <w:snapToGrid/>
        <w:spacing w:after="0" w:line="360" w:lineRule="auto"/>
        <w:ind w:firstLine="480" w:firstLineChars="200"/>
        <w:jc w:val="both"/>
        <w:outlineLvl w:val="0"/>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（三）投资情况</w:t>
      </w:r>
    </w:p>
    <w:p w14:paraId="23AB5594">
      <w:pPr>
        <w:adjustRightInd/>
        <w:snapToGrid/>
        <w:spacing w:after="0" w:line="360" w:lineRule="auto"/>
        <w:ind w:firstLine="480" w:firstLineChars="200"/>
        <w:jc w:val="both"/>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kern w:val="2"/>
          <w:sz w:val="24"/>
          <w:szCs w:val="24"/>
          <w:highlight w:val="none"/>
          <w:lang w:val="zh-CN"/>
        </w:rPr>
        <w:t>本项目实际总投资为</w:t>
      </w:r>
      <w:r>
        <w:rPr>
          <w:rFonts w:hint="default" w:ascii="Times New Roman" w:hAnsi="Times New Roman" w:eastAsia="宋体" w:cs="Times New Roman"/>
          <w:kern w:val="2"/>
          <w:sz w:val="24"/>
          <w:szCs w:val="24"/>
          <w:highlight w:val="none"/>
          <w:lang w:val="en-US" w:eastAsia="zh-CN"/>
        </w:rPr>
        <w:t>620</w:t>
      </w:r>
      <w:r>
        <w:rPr>
          <w:rFonts w:hint="default" w:ascii="Times New Roman" w:hAnsi="Times New Roman" w:eastAsia="宋体" w:cs="Times New Roman"/>
          <w:kern w:val="2"/>
          <w:sz w:val="24"/>
          <w:szCs w:val="24"/>
          <w:highlight w:val="none"/>
          <w:lang w:val="zh-CN"/>
        </w:rPr>
        <w:t>万元，实际环保投资为</w:t>
      </w:r>
      <w:r>
        <w:rPr>
          <w:rFonts w:hint="default" w:ascii="Times New Roman" w:hAnsi="Times New Roman" w:eastAsia="宋体" w:cs="Times New Roman"/>
          <w:kern w:val="2"/>
          <w:sz w:val="24"/>
          <w:szCs w:val="24"/>
          <w:highlight w:val="none"/>
          <w:lang w:val="en-US" w:eastAsia="zh-CN"/>
        </w:rPr>
        <w:t>15</w:t>
      </w:r>
      <w:r>
        <w:rPr>
          <w:rFonts w:hint="default" w:ascii="Times New Roman" w:hAnsi="Times New Roman" w:eastAsia="宋体" w:cs="Times New Roman"/>
          <w:kern w:val="2"/>
          <w:sz w:val="24"/>
          <w:szCs w:val="24"/>
          <w:highlight w:val="none"/>
          <w:lang w:val="zh-CN"/>
        </w:rPr>
        <w:t>万元，占项目总投资的</w:t>
      </w:r>
      <w:r>
        <w:rPr>
          <w:rFonts w:hint="default" w:ascii="Times New Roman" w:hAnsi="Times New Roman" w:eastAsia="宋体" w:cs="Times New Roman"/>
          <w:kern w:val="2"/>
          <w:sz w:val="24"/>
          <w:szCs w:val="24"/>
          <w:highlight w:val="none"/>
          <w:lang w:val="en-US" w:eastAsia="zh-CN"/>
        </w:rPr>
        <w:t>2.4</w:t>
      </w:r>
      <w:r>
        <w:rPr>
          <w:rFonts w:hint="default" w:ascii="Times New Roman" w:hAnsi="Times New Roman" w:eastAsia="宋体" w:cs="Times New Roman"/>
          <w:kern w:val="2"/>
          <w:sz w:val="24"/>
          <w:szCs w:val="24"/>
          <w:highlight w:val="none"/>
          <w:lang w:val="zh-CN"/>
        </w:rPr>
        <w:t>%。</w:t>
      </w:r>
    </w:p>
    <w:p w14:paraId="250A066E">
      <w:pPr>
        <w:pStyle w:val="20"/>
        <w:spacing w:before="0" w:beforeAutospacing="0" w:after="0" w:afterAutospacing="0" w:line="360" w:lineRule="auto"/>
        <w:ind w:firstLine="480" w:firstLineChars="200"/>
        <w:jc w:val="both"/>
        <w:outlineLvl w:val="0"/>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14:textFill>
            <w14:solidFill>
              <w14:schemeClr w14:val="tx1"/>
            </w14:solidFill>
          </w14:textFill>
        </w:rPr>
        <w:t>（四）验收范围</w:t>
      </w:r>
    </w:p>
    <w:p w14:paraId="7A93E809">
      <w:pPr>
        <w:spacing w:after="0" w:line="360" w:lineRule="auto"/>
        <w:ind w:firstLine="480" w:firstLineChars="200"/>
        <w:jc w:val="both"/>
        <w:rPr>
          <w:rFonts w:hint="default" w:ascii="Times New Roman" w:hAnsi="Times New Roman" w:eastAsia="宋体" w:cs="Times New Roman"/>
          <w:kern w:val="2"/>
          <w:sz w:val="24"/>
          <w:szCs w:val="24"/>
          <w:highlight w:val="none"/>
        </w:rPr>
      </w:pPr>
      <w:r>
        <w:rPr>
          <w:rFonts w:hint="default" w:ascii="Times New Roman" w:hAnsi="Times New Roman" w:eastAsia="宋体" w:cs="Times New Roman"/>
          <w:sz w:val="24"/>
          <w:szCs w:val="24"/>
          <w:highlight w:val="none"/>
          <w:lang w:val="en-US" w:eastAsia="zh-CN"/>
        </w:rPr>
        <w:t>项目设计规模为新增</w:t>
      </w:r>
      <w:r>
        <w:rPr>
          <w:rFonts w:hint="default" w:ascii="Times New Roman" w:hAnsi="Times New Roman" w:eastAsia="宋体" w:cs="Times New Roman"/>
          <w:color w:val="000000" w:themeColor="text1"/>
          <w:sz w:val="24"/>
          <w:szCs w:val="24"/>
          <w:lang w:eastAsia="zh-CN"/>
          <w14:textFill>
            <w14:solidFill>
              <w14:schemeClr w14:val="tx1"/>
            </w14:solidFill>
          </w14:textFill>
        </w:rPr>
        <w:t>地埋式双层油罐5个，3个30m</w:t>
      </w:r>
      <w:r>
        <w:rPr>
          <w:rFonts w:hint="default" w:ascii="Times New Roman" w:hAnsi="Times New Roman" w:eastAsia="宋体" w:cs="Times New Roman"/>
          <w:color w:val="000000" w:themeColor="text1"/>
          <w:sz w:val="24"/>
          <w:szCs w:val="24"/>
          <w:vertAlign w:val="superscript"/>
          <w:lang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汽油罐，2个30m</w:t>
      </w:r>
      <w:r>
        <w:rPr>
          <w:rFonts w:hint="default" w:ascii="Times New Roman" w:hAnsi="Times New Roman" w:eastAsia="宋体" w:cs="Times New Roman"/>
          <w:color w:val="000000" w:themeColor="text1"/>
          <w:sz w:val="24"/>
          <w:szCs w:val="24"/>
          <w:vertAlign w:val="superscript"/>
          <w:lang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柴油罐，购置双枪加油机4台，其中汽油加油机2台，柴油加油机2台，进行汽油、柴油零售，年销售油量1800t，其中92#、95#汽油1200t，0#、-10#柴油600t</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color w:val="000000"/>
          <w:sz w:val="24"/>
          <w:szCs w:val="24"/>
          <w:highlight w:val="none"/>
        </w:rPr>
        <w:t>本次验收内容主要为核查项目实际建设内容、对项目环境保护设施建设情况进行检查、对环境保护设施调试效果进行现场监测。</w:t>
      </w:r>
    </w:p>
    <w:p w14:paraId="4DE08F0B">
      <w:pPr>
        <w:pStyle w:val="20"/>
        <w:spacing w:before="0" w:beforeAutospacing="0" w:after="0" w:afterAutospacing="0" w:line="360" w:lineRule="auto"/>
        <w:ind w:firstLine="482" w:firstLineChars="200"/>
        <w:jc w:val="both"/>
        <w:outlineLvl w:val="0"/>
        <w:rPr>
          <w:rFonts w:hint="default" w:ascii="Times New Roman" w:hAnsi="Times New Roman" w:eastAsia="宋体" w:cs="Times New Roman"/>
          <w:b/>
          <w:color w:val="000000" w:themeColor="text1"/>
          <w:highlight w:val="none"/>
          <w14:textFill>
            <w14:solidFill>
              <w14:schemeClr w14:val="tx1"/>
            </w14:solidFill>
          </w14:textFill>
        </w:rPr>
      </w:pPr>
      <w:r>
        <w:rPr>
          <w:rFonts w:hint="default" w:ascii="Times New Roman" w:hAnsi="Times New Roman" w:eastAsia="宋体" w:cs="Times New Roman"/>
          <w:b/>
          <w:color w:val="000000" w:themeColor="text1"/>
          <w:highlight w:val="none"/>
          <w14:textFill>
            <w14:solidFill>
              <w14:schemeClr w14:val="tx1"/>
            </w14:solidFill>
          </w14:textFill>
        </w:rPr>
        <w:t>二、工程变动情况</w:t>
      </w:r>
    </w:p>
    <w:p w14:paraId="75878241">
      <w:pPr>
        <w:pStyle w:val="20"/>
        <w:spacing w:before="0" w:beforeAutospacing="0" w:after="0" w:afterAutospacing="0"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themeColor="text1"/>
          <w:highlight w:val="none"/>
          <w14:textFill>
            <w14:solidFill>
              <w14:schemeClr w14:val="tx1"/>
            </w14:solidFill>
          </w14:textFill>
        </w:rPr>
        <w:t>项目的性质、规模、建设地点、</w:t>
      </w:r>
      <w:r>
        <w:rPr>
          <w:rFonts w:hint="default" w:ascii="Times New Roman" w:hAnsi="Times New Roman" w:eastAsia="宋体" w:cs="Times New Roman"/>
          <w:color w:val="000000" w:themeColor="text1"/>
          <w:highlight w:val="none"/>
          <w:lang w:val="en-US" w:eastAsia="zh-CN"/>
          <w14:textFill>
            <w14:solidFill>
              <w14:schemeClr w14:val="tx1"/>
            </w14:solidFill>
          </w14:textFill>
        </w:rPr>
        <w:t>主要</w:t>
      </w:r>
      <w:r>
        <w:rPr>
          <w:rFonts w:hint="default" w:ascii="Times New Roman" w:hAnsi="Times New Roman" w:eastAsia="宋体" w:cs="Times New Roman"/>
          <w:color w:val="000000" w:themeColor="text1"/>
          <w:highlight w:val="none"/>
          <w14:textFill>
            <w14:solidFill>
              <w14:schemeClr w14:val="tx1"/>
            </w14:solidFill>
          </w14:textFill>
        </w:rPr>
        <w:t>生产工艺</w:t>
      </w:r>
      <w:r>
        <w:rPr>
          <w:rFonts w:hint="default" w:ascii="Times New Roman" w:hAnsi="Times New Roman" w:eastAsia="宋体" w:cs="Times New Roman"/>
          <w:color w:val="000000" w:themeColor="text1"/>
          <w:highlight w:val="none"/>
          <w:lang w:eastAsia="zh-CN"/>
          <w14:textFill>
            <w14:solidFill>
              <w14:schemeClr w14:val="tx1"/>
            </w14:solidFill>
          </w14:textFill>
        </w:rPr>
        <w:t>、</w:t>
      </w:r>
      <w:r>
        <w:rPr>
          <w:rFonts w:hint="default" w:ascii="Times New Roman" w:hAnsi="Times New Roman" w:eastAsia="宋体" w:cs="Times New Roman"/>
          <w:color w:val="000000" w:themeColor="text1"/>
          <w:highlight w:val="none"/>
          <w:lang w:val="en-US" w:eastAsia="zh-CN"/>
          <w14:textFill>
            <w14:solidFill>
              <w14:schemeClr w14:val="tx1"/>
            </w14:solidFill>
          </w14:textFill>
        </w:rPr>
        <w:t>环保设施</w:t>
      </w:r>
      <w:r>
        <w:rPr>
          <w:rFonts w:hint="default" w:ascii="Times New Roman" w:hAnsi="Times New Roman" w:eastAsia="宋体" w:cs="Times New Roman"/>
          <w:color w:val="000000" w:themeColor="text1"/>
          <w:highlight w:val="none"/>
          <w14:textFill>
            <w14:solidFill>
              <w14:schemeClr w14:val="tx1"/>
            </w14:solidFill>
          </w14:textFill>
        </w:rPr>
        <w:t>均未发生变动</w:t>
      </w:r>
      <w:r>
        <w:rPr>
          <w:rFonts w:hint="default" w:ascii="Times New Roman" w:hAnsi="Times New Roman" w:eastAsia="宋体" w:cs="Times New Roman"/>
          <w:color w:val="000000" w:themeColor="text1"/>
          <w:highlight w:val="none"/>
          <w:lang w:eastAsia="zh-CN"/>
          <w14:textFill>
            <w14:solidFill>
              <w14:schemeClr w14:val="tx1"/>
            </w14:solidFill>
          </w14:textFill>
        </w:rPr>
        <w:t>，</w:t>
      </w:r>
      <w:r>
        <w:rPr>
          <w:rFonts w:hint="default" w:ascii="Times New Roman" w:hAnsi="Times New Roman" w:eastAsia="宋体" w:cs="Times New Roman"/>
          <w:color w:val="000000" w:themeColor="text1"/>
          <w:highlight w:val="none"/>
          <w:lang w:val="en-US" w:eastAsia="zh-CN"/>
          <w14:textFill>
            <w14:solidFill>
              <w14:schemeClr w14:val="tx1"/>
            </w14:solidFill>
          </w14:textFill>
        </w:rPr>
        <w:t>固废种类发生变化，环评阶段未识别三级油气回收系统产生的废活性炭，</w:t>
      </w:r>
      <w:r>
        <w:rPr>
          <w:rFonts w:hint="eastAsia" w:ascii="Times New Roman" w:hAnsi="Times New Roman" w:cs="Times New Roman"/>
          <w:color w:val="000000" w:themeColor="text1"/>
          <w:highlight w:val="none"/>
          <w:lang w:val="en-US" w:eastAsia="zh-CN"/>
          <w14:textFill>
            <w14:solidFill>
              <w14:schemeClr w14:val="tx1"/>
            </w14:solidFill>
          </w14:textFill>
        </w:rPr>
        <w:t>且环评阶段识别废油抹布、废油手套为一般固废。</w:t>
      </w:r>
      <w:r>
        <w:rPr>
          <w:rFonts w:hint="default" w:ascii="Times New Roman" w:hAnsi="Times New Roman" w:eastAsia="宋体" w:cs="Times New Roman"/>
          <w:color w:val="000000" w:themeColor="text1"/>
          <w:highlight w:val="none"/>
          <w:lang w:val="en-US" w:eastAsia="zh-CN"/>
          <w14:textFill>
            <w14:solidFill>
              <w14:schemeClr w14:val="tx1"/>
            </w14:solidFill>
          </w14:textFill>
        </w:rPr>
        <w:t>本项目已办理固体废物环境影响补充报告</w:t>
      </w:r>
      <w:r>
        <w:rPr>
          <w:rFonts w:hint="default" w:ascii="Times New Roman" w:hAnsi="Times New Roman" w:eastAsia="宋体" w:cs="Times New Roman"/>
          <w:color w:val="000000" w:themeColor="text1"/>
          <w:highlight w:val="none"/>
          <w:lang w:eastAsia="zh-CN"/>
          <w14:textFill>
            <w14:solidFill>
              <w14:schemeClr w14:val="tx1"/>
            </w14:solidFill>
          </w14:textFill>
        </w:rPr>
        <w:t>。</w:t>
      </w:r>
      <w:r>
        <w:rPr>
          <w:rFonts w:hint="default" w:ascii="Times New Roman" w:hAnsi="Times New Roman" w:eastAsia="宋体" w:cs="Times New Roman"/>
          <w:color w:val="000000"/>
          <w:sz w:val="24"/>
          <w:szCs w:val="24"/>
          <w:lang w:val="en-US" w:eastAsia="zh-CN"/>
        </w:rPr>
        <w:t>根据《关于印发环评管理中部分行业建设项目重大变动清单的通知》（环办〔2015〕52号）中相关要求，判定本项目无</w:t>
      </w:r>
      <w:r>
        <w:rPr>
          <w:rFonts w:hint="default" w:ascii="Times New Roman" w:hAnsi="Times New Roman" w:eastAsia="宋体" w:cs="Times New Roman"/>
          <w:color w:val="000000"/>
          <w:sz w:val="24"/>
          <w:szCs w:val="24"/>
        </w:rPr>
        <w:t>重大变动。</w:t>
      </w:r>
    </w:p>
    <w:p w14:paraId="0452549C">
      <w:pPr>
        <w:adjustRightInd/>
        <w:snapToGrid/>
        <w:spacing w:after="0" w:line="360" w:lineRule="auto"/>
        <w:ind w:firstLine="482" w:firstLineChars="200"/>
        <w:jc w:val="both"/>
        <w:outlineLvl w:val="0"/>
        <w:rPr>
          <w:rFonts w:hint="default" w:ascii="Times New Roman" w:hAnsi="Times New Roman" w:eastAsia="宋体" w:cs="Times New Roman"/>
          <w:b/>
          <w:color w:val="000000" w:themeColor="text1"/>
          <w:sz w:val="24"/>
          <w:szCs w:val="24"/>
          <w:highlight w:val="none"/>
          <w14:textFill>
            <w14:solidFill>
              <w14:schemeClr w14:val="tx1"/>
            </w14:solidFill>
          </w14:textFill>
        </w:rPr>
      </w:pPr>
      <w:r>
        <w:rPr>
          <w:rFonts w:hint="default" w:ascii="Times New Roman" w:hAnsi="Times New Roman" w:eastAsia="宋体" w:cs="Times New Roman"/>
          <w:b/>
          <w:color w:val="000000" w:themeColor="text1"/>
          <w:sz w:val="24"/>
          <w:szCs w:val="24"/>
          <w:highlight w:val="none"/>
          <w14:textFill>
            <w14:solidFill>
              <w14:schemeClr w14:val="tx1"/>
            </w14:solidFill>
          </w14:textFill>
        </w:rPr>
        <w:t>三、环境保护设施建设情况</w:t>
      </w:r>
    </w:p>
    <w:p w14:paraId="4EFF8F1B">
      <w:pPr>
        <w:adjustRightInd/>
        <w:snapToGrid/>
        <w:spacing w:after="0" w:line="360" w:lineRule="auto"/>
        <w:ind w:firstLine="480" w:firstLineChars="200"/>
        <w:jc w:val="both"/>
        <w:outlineLvl w:val="0"/>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（一）废</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气</w:t>
      </w:r>
    </w:p>
    <w:p w14:paraId="456CCEA6">
      <w:pPr>
        <w:widowControl w:val="0"/>
        <w:adjustRightInd/>
        <w:snapToGrid/>
        <w:spacing w:after="0" w:line="360" w:lineRule="auto"/>
        <w:ind w:firstLine="480" w:firstLineChars="200"/>
        <w:jc w:val="both"/>
        <w:textAlignment w:val="baseline"/>
        <w:rPr>
          <w:rFonts w:hint="default" w:ascii="Times New Roman" w:hAnsi="Times New Roman" w:eastAsia="宋体" w:cs="Times New Roman"/>
          <w:kern w:val="2"/>
          <w:sz w:val="24"/>
          <w:szCs w:val="24"/>
          <w:highlight w:val="none"/>
          <w:lang w:val="en-US" w:eastAsia="zh-CN"/>
        </w:rPr>
      </w:pPr>
      <w:r>
        <w:rPr>
          <w:rFonts w:hint="default" w:ascii="Times New Roman" w:hAnsi="Times New Roman" w:eastAsia="宋体" w:cs="Times New Roman"/>
          <w:kern w:val="2"/>
          <w:sz w:val="24"/>
          <w:szCs w:val="24"/>
          <w:highlight w:val="none"/>
          <w:lang w:val="en-US" w:eastAsia="zh-CN"/>
        </w:rPr>
        <w:t>本项目废气为油罐呼吸阀、加油、卸油过程产生的废气，项目卸油、加油作业过程中“大呼吸”、“小呼吸”挥发的油气大部分经三次油气回收系统冷凝回收后经管道返回汽油储罐，未冷凝油气再进入活性炭吸附装置处理后经1根4米高排气</w:t>
      </w:r>
      <w:r>
        <w:rPr>
          <w:rFonts w:hint="eastAsia" w:ascii="Times New Roman" w:hAnsi="Times New Roman" w:eastAsia="宋体" w:cs="Times New Roman"/>
          <w:kern w:val="2"/>
          <w:sz w:val="24"/>
          <w:szCs w:val="24"/>
          <w:highlight w:val="none"/>
          <w:lang w:val="en-US" w:eastAsia="zh-CN"/>
        </w:rPr>
        <w:t>口</w:t>
      </w:r>
      <w:r>
        <w:rPr>
          <w:rFonts w:hint="default" w:ascii="Times New Roman" w:hAnsi="Times New Roman" w:eastAsia="宋体" w:cs="Times New Roman"/>
          <w:kern w:val="2"/>
          <w:sz w:val="24"/>
          <w:szCs w:val="24"/>
          <w:highlight w:val="none"/>
          <w:lang w:val="en-US" w:eastAsia="zh-CN"/>
        </w:rPr>
        <w:t>排放，</w:t>
      </w:r>
      <w:r>
        <w:rPr>
          <w:rFonts w:hint="eastAsia" w:ascii="Times New Roman" w:hAnsi="Times New Roman" w:eastAsia="宋体" w:cs="Times New Roman"/>
          <w:kern w:val="2"/>
          <w:sz w:val="24"/>
          <w:szCs w:val="24"/>
          <w:highlight w:val="none"/>
          <w:lang w:val="en-US" w:eastAsia="zh-CN"/>
        </w:rPr>
        <w:t>油气处理装置的油气污染物为VOCs（以非甲烷总烃表征），未被收集的油气无组织排放</w:t>
      </w:r>
      <w:r>
        <w:rPr>
          <w:rFonts w:hint="default" w:ascii="Times New Roman" w:hAnsi="Times New Roman" w:eastAsia="宋体" w:cs="Times New Roman"/>
          <w:kern w:val="2"/>
          <w:sz w:val="24"/>
          <w:szCs w:val="24"/>
          <w:highlight w:val="none"/>
          <w:lang w:val="en-US" w:eastAsia="zh-CN"/>
        </w:rPr>
        <w:t>。</w:t>
      </w:r>
    </w:p>
    <w:p w14:paraId="2438F8B3">
      <w:pPr>
        <w:adjustRightInd/>
        <w:snapToGrid/>
        <w:spacing w:after="0" w:line="360" w:lineRule="auto"/>
        <w:ind w:firstLine="480" w:firstLineChars="200"/>
        <w:jc w:val="both"/>
        <w:outlineLvl w:val="0"/>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二</w:t>
      </w:r>
      <w:r>
        <w:rPr>
          <w:rFonts w:hint="default" w:ascii="Times New Roman" w:hAnsi="Times New Roman" w:eastAsia="宋体" w:cs="Times New Roman"/>
          <w:color w:val="000000" w:themeColor="text1"/>
          <w:sz w:val="24"/>
          <w:szCs w:val="24"/>
          <w:highlight w:val="none"/>
          <w14:textFill>
            <w14:solidFill>
              <w14:schemeClr w14:val="tx1"/>
            </w14:solidFill>
          </w14:textFill>
        </w:rPr>
        <w:t>）噪声</w:t>
      </w:r>
    </w:p>
    <w:p w14:paraId="57852F39">
      <w:pPr>
        <w:spacing w:after="0" w:line="360" w:lineRule="auto"/>
        <w:ind w:firstLine="480" w:firstLineChars="200"/>
        <w:jc w:val="both"/>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rPr>
        <w:t>项目在运营过程中产生的噪声主要为加油机运行过程中产生的噪声。企业采取的噪声控制措施主要有：</w:t>
      </w:r>
    </w:p>
    <w:p w14:paraId="4D1AC172">
      <w:pPr>
        <w:spacing w:after="0" w:line="360" w:lineRule="auto"/>
        <w:ind w:firstLine="480" w:firstLineChars="200"/>
        <w:jc w:val="both"/>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rPr>
        <w:t>（1）合理安排设备安放位置，选取低噪声设备，采用柔性连接、基础使用隔振垫；</w:t>
      </w:r>
    </w:p>
    <w:p w14:paraId="11F8083C">
      <w:pPr>
        <w:spacing w:after="0" w:line="360" w:lineRule="auto"/>
        <w:ind w:firstLine="480" w:firstLineChars="200"/>
        <w:jc w:val="both"/>
        <w:rPr>
          <w:rFonts w:hint="default" w:ascii="Times New Roman" w:hAnsi="Times New Roman" w:eastAsia="宋体" w:cs="Times New Roman"/>
          <w:color w:val="000000"/>
          <w:sz w:val="24"/>
          <w:szCs w:val="24"/>
          <w:highlight w:val="none"/>
          <w:lang w:val="en-US" w:eastAsia="zh-CN"/>
        </w:rPr>
      </w:pPr>
      <w:r>
        <w:rPr>
          <w:rFonts w:hint="default" w:ascii="Times New Roman" w:hAnsi="Times New Roman" w:eastAsia="宋体" w:cs="Times New Roman"/>
          <w:color w:val="000000"/>
          <w:sz w:val="24"/>
          <w:szCs w:val="24"/>
          <w:highlight w:val="none"/>
        </w:rPr>
        <w:t>（2）加强周边绿化，选择种植对噪声有较强吸收和阻尼作用的树木。在合理布局的基础上，通过采取隔离降噪、安装减震垫、距离衰减等措施</w:t>
      </w:r>
      <w:r>
        <w:rPr>
          <w:rFonts w:hint="default" w:ascii="Times New Roman" w:hAnsi="Times New Roman" w:eastAsia="宋体" w:cs="Times New Roman"/>
          <w:color w:val="000000"/>
          <w:sz w:val="24"/>
          <w:szCs w:val="24"/>
          <w:highlight w:val="none"/>
          <w:lang w:val="en-US" w:eastAsia="zh-CN"/>
        </w:rPr>
        <w:t>降噪。</w:t>
      </w:r>
    </w:p>
    <w:p w14:paraId="0F06062B">
      <w:pPr>
        <w:adjustRightInd/>
        <w:snapToGrid/>
        <w:spacing w:after="0" w:line="360" w:lineRule="auto"/>
        <w:ind w:firstLine="480" w:firstLineChars="200"/>
        <w:jc w:val="both"/>
        <w:outlineLvl w:val="0"/>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三</w:t>
      </w:r>
      <w:r>
        <w:rPr>
          <w:rFonts w:hint="default" w:ascii="Times New Roman" w:hAnsi="Times New Roman" w:eastAsia="宋体" w:cs="Times New Roman"/>
          <w:color w:val="000000" w:themeColor="text1"/>
          <w:sz w:val="24"/>
          <w:szCs w:val="24"/>
          <w:highlight w:val="none"/>
          <w14:textFill>
            <w14:solidFill>
              <w14:schemeClr w14:val="tx1"/>
            </w14:solidFill>
          </w14:textFill>
        </w:rPr>
        <w:t>）固体废物</w:t>
      </w:r>
    </w:p>
    <w:p w14:paraId="376DCD9F">
      <w:pPr>
        <w:pStyle w:val="32"/>
        <w:spacing w:after="0"/>
        <w:ind w:firstLine="480" w:firstLineChars="200"/>
        <w:jc w:val="both"/>
        <w:rPr>
          <w:rFonts w:hint="default" w:ascii="Times New Roman" w:hAnsi="Times New Roman" w:eastAsia="宋体" w:cs="Times New Roman"/>
          <w:color w:val="000000" w:themeColor="text1"/>
          <w:szCs w:val="24"/>
          <w:highlight w:val="none"/>
          <w14:textFill>
            <w14:solidFill>
              <w14:schemeClr w14:val="tx1"/>
            </w14:solidFill>
          </w14:textFill>
        </w:rPr>
      </w:pPr>
      <w:r>
        <w:rPr>
          <w:rFonts w:hint="default" w:ascii="Times New Roman" w:hAnsi="Times New Roman" w:eastAsia="宋体" w:cs="Times New Roman"/>
          <w:szCs w:val="24"/>
          <w:highlight w:val="none"/>
          <w:lang w:val="en-US" w:eastAsia="zh-CN"/>
        </w:rPr>
        <w:t>项目固体废物包括生活垃圾和危险废物，危险废物为废油抹布、废油手套</w:t>
      </w:r>
      <w:r>
        <w:rPr>
          <w:rFonts w:hint="eastAsia" w:ascii="Times New Roman" w:hAnsi="Times New Roman" w:eastAsia="宋体" w:cs="Times New Roman"/>
          <w:szCs w:val="24"/>
          <w:highlight w:val="none"/>
          <w:lang w:val="en-US" w:eastAsia="zh-CN"/>
        </w:rPr>
        <w:t>、</w:t>
      </w:r>
      <w:r>
        <w:rPr>
          <w:rFonts w:hint="default" w:ascii="Times New Roman" w:hAnsi="Times New Roman" w:eastAsia="宋体" w:cs="Times New Roman"/>
          <w:szCs w:val="24"/>
          <w:highlight w:val="none"/>
          <w:lang w:val="en-US" w:eastAsia="zh-CN"/>
        </w:rPr>
        <w:t>清罐油泥（油渣）、废活性炭，废油抹布、废油手套</w:t>
      </w:r>
      <w:r>
        <w:rPr>
          <w:rFonts w:hint="eastAsia" w:ascii="Times New Roman" w:hAnsi="Times New Roman" w:eastAsia="宋体" w:cs="Times New Roman"/>
          <w:szCs w:val="24"/>
          <w:highlight w:val="none"/>
          <w:lang w:val="en-US" w:eastAsia="zh-CN"/>
        </w:rPr>
        <w:t>全过程不作为危废管理，</w:t>
      </w:r>
      <w:r>
        <w:rPr>
          <w:rFonts w:hint="default" w:ascii="Times New Roman" w:hAnsi="Times New Roman" w:eastAsia="宋体" w:cs="Times New Roman"/>
          <w:szCs w:val="24"/>
          <w:highlight w:val="none"/>
          <w:lang w:val="en-US" w:eastAsia="zh-CN"/>
        </w:rPr>
        <w:t>混入生活垃圾后与生活垃圾由环卫部门清运，罐油泥（油渣）、废活性炭委托烟台万鑫沅环保科技有限公司处置。</w:t>
      </w:r>
    </w:p>
    <w:p w14:paraId="3D5CE3B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四</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其它环保设施</w:t>
      </w:r>
    </w:p>
    <w:p w14:paraId="13A8B757">
      <w:pPr>
        <w:pStyle w:val="32"/>
        <w:keepNext w:val="0"/>
        <w:keepLines w:val="0"/>
        <w:pageBreakBefore w:val="0"/>
        <w:widowControl/>
        <w:kinsoku/>
        <w:wordWrap/>
        <w:overflowPunct/>
        <w:topLinePunct w:val="0"/>
        <w:autoSpaceDE/>
        <w:autoSpaceDN/>
        <w:bidi w:val="0"/>
        <w:spacing w:after="0"/>
        <w:ind w:firstLine="480" w:firstLineChars="200"/>
        <w:jc w:val="both"/>
        <w:textAlignment w:val="auto"/>
        <w:rPr>
          <w:rFonts w:hint="default" w:ascii="Times New Roman" w:hAnsi="Times New Roman" w:eastAsia="宋体" w:cs="Times New Roman"/>
          <w:color w:val="000000" w:themeColor="text1"/>
          <w:szCs w:val="24"/>
          <w:highlight w:val="none"/>
          <w14:textFill>
            <w14:solidFill>
              <w14:schemeClr w14:val="tx1"/>
            </w14:solidFill>
          </w14:textFill>
        </w:rPr>
      </w:pPr>
      <w:r>
        <w:rPr>
          <w:rFonts w:hint="default" w:ascii="Times New Roman" w:hAnsi="Times New Roman" w:eastAsia="宋体" w:cs="Times New Roman"/>
          <w:color w:val="000000" w:themeColor="text1"/>
          <w:szCs w:val="24"/>
          <w:highlight w:val="none"/>
          <w14:textFill>
            <w14:solidFill>
              <w14:schemeClr w14:val="tx1"/>
            </w14:solidFill>
          </w14:textFill>
        </w:rPr>
        <w:t>（1）环境风险设施</w:t>
      </w:r>
    </w:p>
    <w:p w14:paraId="60435D70">
      <w:pPr>
        <w:pStyle w:val="32"/>
        <w:spacing w:after="0"/>
        <w:ind w:firstLine="480" w:firstLineChars="200"/>
        <w:jc w:val="both"/>
        <w:rPr>
          <w:rFonts w:hint="default" w:ascii="Times New Roman" w:hAnsi="Times New Roman" w:eastAsia="宋体" w:cs="Times New Roman"/>
          <w:color w:val="000000" w:themeColor="text1"/>
          <w:szCs w:val="24"/>
          <w:highlight w:val="none"/>
          <w:lang w:eastAsia="zh-CN"/>
          <w14:textFill>
            <w14:solidFill>
              <w14:schemeClr w14:val="tx1"/>
            </w14:solidFill>
          </w14:textFill>
        </w:rPr>
      </w:pPr>
      <w:r>
        <w:rPr>
          <w:rFonts w:hint="default" w:ascii="Times New Roman" w:hAnsi="Times New Roman" w:eastAsia="宋体" w:cs="Times New Roman"/>
          <w:kern w:val="2"/>
          <w:sz w:val="24"/>
          <w:szCs w:val="24"/>
          <w:highlight w:val="none"/>
          <w:lang w:val="en-US" w:eastAsia="zh-CN"/>
        </w:rPr>
        <w:t>公司在危废暂存间采取防渗防漏措施。</w:t>
      </w:r>
      <w:r>
        <w:rPr>
          <w:rFonts w:hint="default" w:ascii="Times New Roman" w:hAnsi="Times New Roman" w:eastAsia="宋体" w:cs="Times New Roman"/>
          <w:color w:val="000000"/>
          <w:sz w:val="24"/>
          <w:szCs w:val="24"/>
          <w:lang w:val="en-US" w:eastAsia="zh-CN"/>
        </w:rPr>
        <w:t>招远市</w:t>
      </w:r>
      <w:r>
        <w:rPr>
          <w:rFonts w:hint="default" w:ascii="Times New Roman" w:hAnsi="Times New Roman" w:eastAsia="宋体" w:cs="Times New Roman"/>
          <w:color w:val="000000"/>
          <w:sz w:val="24"/>
          <w:szCs w:val="24"/>
          <w:lang w:eastAsia="zh-CN"/>
        </w:rPr>
        <w:t>白天鹅加油站</w:t>
      </w:r>
      <w:r>
        <w:rPr>
          <w:rFonts w:hint="default" w:ascii="Times New Roman" w:hAnsi="Times New Roman" w:eastAsia="宋体" w:cs="Times New Roman"/>
          <w:szCs w:val="24"/>
          <w:highlight w:val="none"/>
          <w:lang w:val="zh-CN"/>
        </w:rPr>
        <w:t>编制了突发环境事件应急预案，并在</w:t>
      </w:r>
      <w:r>
        <w:rPr>
          <w:rFonts w:hint="default" w:ascii="Times New Roman" w:hAnsi="Times New Roman" w:eastAsia="宋体" w:cs="Times New Roman"/>
          <w:szCs w:val="24"/>
          <w:highlight w:val="none"/>
        </w:rPr>
        <w:t>烟台市生态环境局招远</w:t>
      </w:r>
      <w:r>
        <w:rPr>
          <w:rFonts w:hint="default" w:ascii="Times New Roman" w:hAnsi="Times New Roman" w:eastAsia="宋体" w:cs="Times New Roman"/>
          <w:szCs w:val="24"/>
          <w:highlight w:val="none"/>
          <w:lang w:val="zh-CN"/>
        </w:rPr>
        <w:t>分局进行了备案，</w:t>
      </w:r>
      <w:r>
        <w:rPr>
          <w:rFonts w:hint="default" w:ascii="Times New Roman" w:hAnsi="Times New Roman" w:eastAsia="宋体" w:cs="Times New Roman"/>
          <w:szCs w:val="24"/>
          <w:highlight w:val="none"/>
          <w:lang w:val="zh-CN" w:eastAsia="zh-CN"/>
        </w:rPr>
        <w:t>备案编号：370685-202</w:t>
      </w:r>
      <w:r>
        <w:rPr>
          <w:rFonts w:hint="default" w:ascii="Times New Roman" w:hAnsi="Times New Roman" w:eastAsia="宋体" w:cs="Times New Roman"/>
          <w:szCs w:val="24"/>
          <w:highlight w:val="none"/>
          <w:lang w:val="en-US" w:eastAsia="zh-CN"/>
        </w:rPr>
        <w:t>5</w:t>
      </w:r>
      <w:r>
        <w:rPr>
          <w:rFonts w:hint="default" w:ascii="Times New Roman" w:hAnsi="Times New Roman" w:eastAsia="宋体" w:cs="Times New Roman"/>
          <w:szCs w:val="24"/>
          <w:highlight w:val="none"/>
          <w:lang w:val="zh-CN" w:eastAsia="zh-CN"/>
        </w:rPr>
        <w:t>-</w:t>
      </w:r>
      <w:r>
        <w:rPr>
          <w:rFonts w:hint="default" w:ascii="Times New Roman" w:hAnsi="Times New Roman" w:eastAsia="宋体" w:cs="Times New Roman"/>
          <w:szCs w:val="24"/>
          <w:highlight w:val="none"/>
          <w:lang w:val="en-US" w:eastAsia="zh-CN"/>
        </w:rPr>
        <w:t>28</w:t>
      </w:r>
      <w:r>
        <w:rPr>
          <w:rFonts w:hint="default" w:ascii="Times New Roman" w:hAnsi="Times New Roman" w:eastAsia="宋体" w:cs="Times New Roman"/>
          <w:szCs w:val="24"/>
          <w:highlight w:val="none"/>
          <w:lang w:val="zh-CN" w:eastAsia="zh-CN"/>
        </w:rPr>
        <w:t>-L，备案时间：202</w:t>
      </w:r>
      <w:r>
        <w:rPr>
          <w:rFonts w:hint="default" w:ascii="Times New Roman" w:hAnsi="Times New Roman" w:eastAsia="宋体" w:cs="Times New Roman"/>
          <w:szCs w:val="24"/>
          <w:highlight w:val="none"/>
          <w:lang w:val="en-US" w:eastAsia="zh-CN"/>
        </w:rPr>
        <w:t>5</w:t>
      </w:r>
      <w:r>
        <w:rPr>
          <w:rFonts w:hint="default" w:ascii="Times New Roman" w:hAnsi="Times New Roman" w:eastAsia="宋体" w:cs="Times New Roman"/>
          <w:szCs w:val="24"/>
          <w:highlight w:val="none"/>
          <w:lang w:val="zh-CN" w:eastAsia="zh-CN"/>
        </w:rPr>
        <w:t>年</w:t>
      </w:r>
      <w:r>
        <w:rPr>
          <w:rFonts w:hint="default" w:ascii="Times New Roman" w:hAnsi="Times New Roman" w:eastAsia="宋体" w:cs="Times New Roman"/>
          <w:szCs w:val="24"/>
          <w:highlight w:val="none"/>
          <w:lang w:val="en-US" w:eastAsia="zh-CN"/>
        </w:rPr>
        <w:t>3</w:t>
      </w:r>
      <w:r>
        <w:rPr>
          <w:rFonts w:hint="default" w:ascii="Times New Roman" w:hAnsi="Times New Roman" w:eastAsia="宋体" w:cs="Times New Roman"/>
          <w:szCs w:val="24"/>
          <w:highlight w:val="none"/>
          <w:lang w:val="zh-CN" w:eastAsia="zh-CN"/>
        </w:rPr>
        <w:t>月</w:t>
      </w:r>
      <w:r>
        <w:rPr>
          <w:rFonts w:hint="default" w:ascii="Times New Roman" w:hAnsi="Times New Roman" w:eastAsia="宋体" w:cs="Times New Roman"/>
          <w:szCs w:val="24"/>
          <w:highlight w:val="none"/>
          <w:lang w:val="en-US" w:eastAsia="zh-CN"/>
        </w:rPr>
        <w:t>19</w:t>
      </w:r>
      <w:r>
        <w:rPr>
          <w:rFonts w:hint="default" w:ascii="Times New Roman" w:hAnsi="Times New Roman" w:eastAsia="宋体" w:cs="Times New Roman"/>
          <w:szCs w:val="24"/>
          <w:highlight w:val="none"/>
          <w:lang w:val="zh-CN" w:eastAsia="zh-CN"/>
        </w:rPr>
        <w:t>日</w:t>
      </w:r>
      <w:r>
        <w:rPr>
          <w:rFonts w:hint="default" w:ascii="Times New Roman" w:hAnsi="Times New Roman" w:eastAsia="宋体" w:cs="Times New Roman"/>
          <w:szCs w:val="24"/>
          <w:highlight w:val="none"/>
          <w:lang w:val="zh-CN"/>
        </w:rPr>
        <w:t>。</w:t>
      </w:r>
    </w:p>
    <w:p w14:paraId="265A297E">
      <w:pPr>
        <w:pStyle w:val="32"/>
        <w:spacing w:after="0"/>
        <w:ind w:firstLine="480" w:firstLineChars="200"/>
        <w:jc w:val="both"/>
        <w:outlineLvl w:val="0"/>
        <w:rPr>
          <w:rFonts w:hint="default" w:ascii="Times New Roman" w:hAnsi="Times New Roman" w:eastAsia="宋体" w:cs="Times New Roman"/>
          <w:color w:val="000000" w:themeColor="text1"/>
          <w:szCs w:val="24"/>
          <w:highlight w:val="none"/>
          <w14:textFill>
            <w14:solidFill>
              <w14:schemeClr w14:val="tx1"/>
            </w14:solidFill>
          </w14:textFill>
        </w:rPr>
      </w:pPr>
      <w:r>
        <w:rPr>
          <w:rFonts w:hint="default" w:ascii="Times New Roman" w:hAnsi="Times New Roman" w:eastAsia="宋体" w:cs="Times New Roman"/>
          <w:color w:val="000000" w:themeColor="text1"/>
          <w:szCs w:val="24"/>
          <w:highlight w:val="none"/>
          <w14:textFill>
            <w14:solidFill>
              <w14:schemeClr w14:val="tx1"/>
            </w14:solidFill>
          </w14:textFill>
        </w:rPr>
        <w:t>（2）规范化排污口、监测设施</w:t>
      </w:r>
    </w:p>
    <w:p w14:paraId="3FE8AB63">
      <w:pPr>
        <w:pStyle w:val="13"/>
        <w:spacing w:before="0" w:beforeAutospacing="0" w:after="0" w:afterAutospacing="0" w:line="360" w:lineRule="auto"/>
        <w:ind w:firstLine="480" w:firstLineChars="200"/>
        <w:jc w:val="both"/>
        <w:rPr>
          <w:rFonts w:hint="default" w:ascii="Times New Roman" w:hAnsi="Times New Roman" w:eastAsia="宋体" w:cs="Times New Roman"/>
          <w:color w:val="000000" w:themeColor="text1"/>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4"/>
          <w:highlight w:val="none"/>
          <w14:textFill>
            <w14:solidFill>
              <w14:schemeClr w14:val="tx1"/>
            </w14:solidFill>
          </w14:textFill>
        </w:rPr>
        <w:t>本项目</w:t>
      </w:r>
      <w:r>
        <w:rPr>
          <w:rFonts w:hint="default" w:ascii="Times New Roman" w:hAnsi="Times New Roman" w:eastAsia="宋体" w:cs="Times New Roman"/>
          <w:color w:val="000000" w:themeColor="text1"/>
          <w:szCs w:val="24"/>
          <w:highlight w:val="none"/>
          <w:lang w:val="en-US" w:eastAsia="zh-CN"/>
          <w14:textFill>
            <w14:solidFill>
              <w14:schemeClr w14:val="tx1"/>
            </w14:solidFill>
          </w14:textFill>
        </w:rPr>
        <w:t>油气处理装置排放口</w:t>
      </w:r>
      <w:r>
        <w:rPr>
          <w:rFonts w:hint="default" w:ascii="Times New Roman" w:hAnsi="Times New Roman" w:eastAsia="宋体" w:cs="Times New Roman"/>
          <w:color w:val="000000" w:themeColor="text1"/>
          <w:szCs w:val="24"/>
          <w:highlight w:val="none"/>
          <w14:textFill>
            <w14:solidFill>
              <w14:schemeClr w14:val="tx1"/>
            </w14:solidFill>
          </w14:textFill>
        </w:rPr>
        <w:t>设置了监测口</w:t>
      </w:r>
      <w:r>
        <w:rPr>
          <w:rFonts w:hint="default" w:ascii="Times New Roman" w:hAnsi="Times New Roman" w:eastAsia="宋体" w:cs="Times New Roman"/>
          <w:color w:val="000000" w:themeColor="text1"/>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Cs w:val="24"/>
          <w:highlight w:val="none"/>
          <w14:textFill>
            <w14:solidFill>
              <w14:schemeClr w14:val="tx1"/>
            </w14:solidFill>
          </w14:textFill>
        </w:rPr>
        <w:t>规范的环保标识牌</w:t>
      </w:r>
      <w:r>
        <w:rPr>
          <w:rFonts w:hint="default" w:ascii="Times New Roman" w:hAnsi="Times New Roman" w:eastAsia="宋体" w:cs="Times New Roman"/>
          <w:color w:val="000000" w:themeColor="text1"/>
          <w:szCs w:val="24"/>
          <w:highlight w:val="none"/>
          <w:lang w:val="en-US" w:eastAsia="zh-CN"/>
          <w14:textFill>
            <w14:solidFill>
              <w14:schemeClr w14:val="tx1"/>
            </w14:solidFill>
          </w14:textFill>
        </w:rPr>
        <w:t>。</w:t>
      </w:r>
    </w:p>
    <w:p w14:paraId="1C110C58">
      <w:pPr>
        <w:pStyle w:val="20"/>
        <w:spacing w:before="0" w:beforeAutospacing="0" w:after="0" w:afterAutospacing="0" w:line="360" w:lineRule="auto"/>
        <w:ind w:firstLine="482" w:firstLineChars="200"/>
        <w:jc w:val="both"/>
        <w:outlineLvl w:val="0"/>
        <w:rPr>
          <w:rFonts w:hint="default" w:ascii="Times New Roman" w:hAnsi="Times New Roman" w:eastAsia="宋体" w:cs="Times New Roman"/>
          <w:b/>
          <w:color w:val="000000" w:themeColor="text1"/>
          <w:highlight w:val="none"/>
          <w14:textFill>
            <w14:solidFill>
              <w14:schemeClr w14:val="tx1"/>
            </w14:solidFill>
          </w14:textFill>
        </w:rPr>
      </w:pPr>
      <w:r>
        <w:rPr>
          <w:rFonts w:hint="default" w:ascii="Times New Roman" w:hAnsi="Times New Roman" w:eastAsia="宋体" w:cs="Times New Roman"/>
          <w:b/>
          <w:color w:val="000000" w:themeColor="text1"/>
          <w:highlight w:val="none"/>
          <w14:textFill>
            <w14:solidFill>
              <w14:schemeClr w14:val="tx1"/>
            </w14:solidFill>
          </w14:textFill>
        </w:rPr>
        <w:t>四、环境保护设施调试效果</w:t>
      </w:r>
    </w:p>
    <w:p w14:paraId="709E0FE5">
      <w:pPr>
        <w:pStyle w:val="20"/>
        <w:spacing w:before="0" w:beforeAutospacing="0" w:after="0" w:afterAutospacing="0" w:line="360" w:lineRule="auto"/>
        <w:ind w:firstLine="480" w:firstLineChars="200"/>
        <w:jc w:val="both"/>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14:textFill>
            <w14:solidFill>
              <w14:schemeClr w14:val="tx1"/>
            </w14:solidFill>
          </w14:textFill>
        </w:rPr>
        <w:t>验收监测期间，本项目生产设备工况稳定、环保设施运行正常。根据验收监测结果表明：</w:t>
      </w:r>
    </w:p>
    <w:p w14:paraId="210BF430">
      <w:pPr>
        <w:pStyle w:val="20"/>
        <w:spacing w:before="0" w:beforeAutospacing="0" w:after="0" w:afterAutospacing="0" w:line="360" w:lineRule="auto"/>
        <w:ind w:firstLine="480" w:firstLineChars="200"/>
        <w:jc w:val="both"/>
        <w:outlineLvl w:val="0"/>
        <w:rPr>
          <w:rFonts w:hint="default" w:ascii="Times New Roman" w:hAnsi="Times New Roman" w:eastAsia="宋体" w:cs="Times New Roman"/>
          <w:color w:val="000000" w:themeColor="text1"/>
          <w:highlight w:val="none"/>
          <w:lang w:eastAsia="zh-CN"/>
          <w14:textFill>
            <w14:solidFill>
              <w14:schemeClr w14:val="tx1"/>
            </w14:solidFill>
          </w14:textFill>
        </w:rPr>
      </w:pPr>
      <w:r>
        <w:rPr>
          <w:rFonts w:hint="default" w:ascii="Times New Roman" w:hAnsi="Times New Roman" w:eastAsia="宋体" w:cs="Times New Roman"/>
          <w:color w:val="000000" w:themeColor="text1"/>
          <w:highlight w:val="none"/>
          <w14:textFill>
            <w14:solidFill>
              <w14:schemeClr w14:val="tx1"/>
            </w14:solidFill>
          </w14:textFill>
        </w:rPr>
        <w:t>1.废</w:t>
      </w:r>
      <w:r>
        <w:rPr>
          <w:rFonts w:hint="default" w:ascii="Times New Roman" w:hAnsi="Times New Roman" w:eastAsia="宋体" w:cs="Times New Roman"/>
          <w:color w:val="000000" w:themeColor="text1"/>
          <w:highlight w:val="none"/>
          <w:lang w:val="en-US" w:eastAsia="zh-CN"/>
          <w14:textFill>
            <w14:solidFill>
              <w14:schemeClr w14:val="tx1"/>
            </w14:solidFill>
          </w14:textFill>
        </w:rPr>
        <w:t>气</w:t>
      </w:r>
    </w:p>
    <w:p w14:paraId="6F0795B4">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验收监测期间，</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项目油气处理装置排放口VOCs最大排放浓度为14.6g/m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密闭性482Pa，液阻通入氮气流量18（L/min），最大压力18pa，通入氮气流量28（L/min），最大压力35pa，通入氮气流量38（L/min），最大压力50pa，气液比最大值为1.11，泄漏检测值最大净检测值为1.1umol/mol，项目VOCs排放、液阻、气液比、密闭性、泄漏检测值均满足《加油站大气污染物排放标准》（GB20952-2020）中标准要求。项目VOCs厂界最大排放浓度为1.88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项目无组织VOCs排放</w:t>
      </w:r>
      <w:r>
        <w:rPr>
          <w:rFonts w:hint="default" w:ascii="Times New Roman" w:hAnsi="Times New Roman" w:eastAsia="宋体" w:cs="Times New Roman"/>
          <w:color w:val="000000" w:themeColor="text1"/>
          <w:sz w:val="24"/>
          <w:szCs w:val="24"/>
          <w14:textFill>
            <w14:solidFill>
              <w14:schemeClr w14:val="tx1"/>
            </w14:solidFill>
          </w14:textFill>
        </w:rPr>
        <w:t>满足《加油站大气污染物排放标准》（GB20952-2020）表3油气浓度无组织排放标准。</w:t>
      </w:r>
    </w:p>
    <w:p w14:paraId="5F27A6A6">
      <w:pPr>
        <w:pStyle w:val="20"/>
        <w:spacing w:before="0" w:beforeAutospacing="0" w:after="0" w:afterAutospacing="0" w:line="360" w:lineRule="auto"/>
        <w:ind w:firstLine="480" w:firstLineChars="200"/>
        <w:jc w:val="both"/>
        <w:outlineLvl w:val="0"/>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highlight w:val="none"/>
          <w14:textFill>
            <w14:solidFill>
              <w14:schemeClr w14:val="tx1"/>
            </w14:solidFill>
          </w14:textFill>
        </w:rPr>
        <w:t>.厂界噪声</w:t>
      </w:r>
    </w:p>
    <w:p w14:paraId="3484CD00">
      <w:pPr>
        <w:spacing w:after="0" w:line="360" w:lineRule="auto"/>
        <w:ind w:firstLine="480" w:firstLineChars="200"/>
        <w:jc w:val="both"/>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lang w:val="en-US" w:eastAsia="zh-CN"/>
        </w:rPr>
        <w:t>验收监测期间，项目厂界昼间噪声监测值为48.5-54.0dB(A)，夜间噪声监测值为39.6-44.3dB(A)，东、南、西、北厂界噪声符合《工业企业厂界环境噪声排放标准》（GB12348-2008）2类声环境功能区标准要求。</w:t>
      </w:r>
    </w:p>
    <w:p w14:paraId="19639D36">
      <w:pPr>
        <w:pStyle w:val="20"/>
        <w:numPr>
          <w:ilvl w:val="0"/>
          <w:numId w:val="0"/>
        </w:numPr>
        <w:spacing w:before="0" w:beforeAutospacing="0" w:after="0" w:afterAutospacing="0" w:line="360" w:lineRule="auto"/>
        <w:ind w:firstLine="480" w:firstLineChars="200"/>
        <w:jc w:val="both"/>
        <w:rPr>
          <w:rFonts w:hint="default" w:ascii="Times New Roman" w:hAnsi="Times New Roman" w:eastAsia="宋体" w:cs="Times New Roman"/>
          <w:kern w:val="2"/>
          <w:lang w:val="en-US" w:eastAsia="zh-CN"/>
        </w:rPr>
      </w:pPr>
      <w:r>
        <w:rPr>
          <w:rFonts w:hint="default" w:ascii="Times New Roman" w:hAnsi="Times New Roman" w:eastAsia="宋体" w:cs="Times New Roman"/>
          <w:kern w:val="2"/>
          <w:lang w:val="en-US" w:eastAsia="zh-CN"/>
        </w:rPr>
        <w:t>3.固体废物</w:t>
      </w:r>
    </w:p>
    <w:p w14:paraId="6DE0A678">
      <w:pPr>
        <w:pStyle w:val="32"/>
        <w:spacing w:after="0"/>
        <w:ind w:firstLine="480" w:firstLineChars="200"/>
        <w:jc w:val="both"/>
        <w:rPr>
          <w:rFonts w:hint="default" w:ascii="Times New Roman" w:hAnsi="Times New Roman" w:eastAsia="宋体" w:cs="Times New Roman"/>
          <w:color w:val="000000" w:themeColor="text1"/>
          <w:szCs w:val="24"/>
          <w:highlight w:val="none"/>
          <w14:textFill>
            <w14:solidFill>
              <w14:schemeClr w14:val="tx1"/>
            </w14:solidFill>
          </w14:textFill>
        </w:rPr>
      </w:pPr>
      <w:r>
        <w:rPr>
          <w:rFonts w:hint="default" w:ascii="Times New Roman" w:hAnsi="Times New Roman" w:eastAsia="宋体" w:cs="Times New Roman"/>
          <w:szCs w:val="24"/>
          <w:highlight w:val="none"/>
          <w:lang w:val="en-US" w:eastAsia="zh-CN"/>
        </w:rPr>
        <w:t>项目固体废物包括生活垃圾和危险废物，危险废物为废油抹布、废油手套</w:t>
      </w:r>
      <w:r>
        <w:rPr>
          <w:rFonts w:hint="eastAsia" w:ascii="Times New Roman" w:hAnsi="Times New Roman" w:eastAsia="宋体" w:cs="Times New Roman"/>
          <w:szCs w:val="24"/>
          <w:highlight w:val="none"/>
          <w:lang w:val="en-US" w:eastAsia="zh-CN"/>
        </w:rPr>
        <w:t>、</w:t>
      </w:r>
      <w:r>
        <w:rPr>
          <w:rFonts w:hint="default" w:ascii="Times New Roman" w:hAnsi="Times New Roman" w:eastAsia="宋体" w:cs="Times New Roman"/>
          <w:szCs w:val="24"/>
          <w:highlight w:val="none"/>
          <w:lang w:val="en-US" w:eastAsia="zh-CN"/>
        </w:rPr>
        <w:t>清罐油泥（油渣）、废活性炭，废油抹布、废油手套全过程不按危废处理</w:t>
      </w:r>
      <w:r>
        <w:rPr>
          <w:rFonts w:hint="eastAsia" w:ascii="Times New Roman" w:hAnsi="Times New Roman" w:eastAsia="宋体" w:cs="Times New Roman"/>
          <w:szCs w:val="24"/>
          <w:highlight w:val="none"/>
          <w:lang w:val="en-US" w:eastAsia="zh-CN"/>
        </w:rPr>
        <w:t>，</w:t>
      </w:r>
      <w:r>
        <w:rPr>
          <w:rFonts w:hint="default" w:ascii="Times New Roman" w:hAnsi="Times New Roman" w:eastAsia="宋体" w:cs="Times New Roman"/>
          <w:szCs w:val="24"/>
          <w:highlight w:val="none"/>
          <w:lang w:val="en-US" w:eastAsia="zh-CN"/>
        </w:rPr>
        <w:t>混入生活垃圾后与生活垃圾由环卫部门清运，罐油泥（油渣）、废活性炭委托烟台万鑫沅环保科技有限公司处置。</w:t>
      </w:r>
    </w:p>
    <w:p w14:paraId="3369D276">
      <w:pPr>
        <w:spacing w:after="0" w:line="360" w:lineRule="auto"/>
        <w:ind w:firstLine="480" w:firstLineChars="200"/>
        <w:jc w:val="both"/>
        <w:rPr>
          <w:rFonts w:hint="default" w:ascii="Times New Roman" w:hAnsi="Times New Roman" w:eastAsia="宋体" w:cs="Times New Roman"/>
          <w:color w:val="000000"/>
          <w:sz w:val="24"/>
          <w:szCs w:val="24"/>
          <w:highlight w:val="none"/>
        </w:rPr>
      </w:pPr>
      <w:r>
        <w:rPr>
          <w:rFonts w:hint="default" w:ascii="Times New Roman" w:hAnsi="Times New Roman" w:eastAsia="宋体" w:cs="Times New Roman"/>
          <w:color w:val="000000"/>
          <w:sz w:val="24"/>
          <w:szCs w:val="24"/>
          <w:highlight w:val="none"/>
          <w:lang w:eastAsia="zh-CN"/>
        </w:rPr>
        <w:t>危废暂存间</w:t>
      </w:r>
      <w:r>
        <w:rPr>
          <w:rFonts w:hint="default" w:ascii="Times New Roman" w:hAnsi="Times New Roman" w:eastAsia="宋体" w:cs="Times New Roman"/>
          <w:color w:val="000000"/>
          <w:sz w:val="24"/>
          <w:szCs w:val="24"/>
          <w:highlight w:val="none"/>
        </w:rPr>
        <w:t>地面进行防渗：</w:t>
      </w:r>
      <w:r>
        <w:rPr>
          <w:rFonts w:hint="default" w:ascii="Times New Roman" w:hAnsi="Times New Roman" w:eastAsia="宋体" w:cs="Times New Roman"/>
          <w:color w:val="000000"/>
          <w:sz w:val="24"/>
          <w:szCs w:val="24"/>
          <w:highlight w:val="none"/>
          <w:lang w:val="en-US" w:eastAsia="zh-CN"/>
        </w:rPr>
        <w:t>在水泥硬化基础上使用防腐防渗材料作为隔离层，</w:t>
      </w:r>
      <w:r>
        <w:rPr>
          <w:rFonts w:hint="default" w:ascii="Times New Roman" w:hAnsi="Times New Roman" w:eastAsia="宋体" w:cs="Times New Roman"/>
          <w:color w:val="000000"/>
          <w:sz w:val="24"/>
          <w:szCs w:val="24"/>
          <w:highlight w:val="none"/>
        </w:rPr>
        <w:t>危险废物贮存符合《危险废物贮存污染控制标准》（GB18597-20</w:t>
      </w:r>
      <w:r>
        <w:rPr>
          <w:rFonts w:hint="default" w:ascii="Times New Roman" w:hAnsi="Times New Roman" w:eastAsia="宋体" w:cs="Times New Roman"/>
          <w:color w:val="000000"/>
          <w:sz w:val="24"/>
          <w:szCs w:val="24"/>
          <w:highlight w:val="none"/>
          <w:lang w:val="en-US" w:eastAsia="zh-CN"/>
        </w:rPr>
        <w:t>23</w:t>
      </w:r>
      <w:r>
        <w:rPr>
          <w:rFonts w:hint="default" w:ascii="Times New Roman" w:hAnsi="Times New Roman" w:eastAsia="宋体" w:cs="Times New Roman"/>
          <w:color w:val="000000"/>
          <w:sz w:val="24"/>
          <w:szCs w:val="24"/>
          <w:highlight w:val="none"/>
        </w:rPr>
        <w:t>）要求。</w:t>
      </w:r>
    </w:p>
    <w:p w14:paraId="6F55A4BB">
      <w:pPr>
        <w:pStyle w:val="20"/>
        <w:spacing w:before="0" w:beforeAutospacing="0" w:after="0" w:afterAutospacing="0" w:line="360" w:lineRule="auto"/>
        <w:ind w:firstLine="480" w:firstLineChars="200"/>
        <w:jc w:val="both"/>
        <w:outlineLvl w:val="0"/>
        <w:rPr>
          <w:rFonts w:hint="default" w:ascii="Times New Roman" w:hAnsi="Times New Roman" w:eastAsia="宋体" w:cs="Times New Roman"/>
          <w:color w:val="000000" w:themeColor="text1"/>
          <w:highlight w:val="none"/>
          <w14:textFill>
            <w14:solidFill>
              <w14:schemeClr w14:val="tx1"/>
            </w14:solidFill>
          </w14:textFill>
        </w:rPr>
      </w:pPr>
      <w:r>
        <w:rPr>
          <w:rFonts w:hint="default" w:ascii="Times New Roman" w:hAnsi="Times New Roman" w:eastAsia="宋体" w:cs="Times New Roman"/>
          <w:color w:val="000000" w:themeColor="text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highlight w:val="none"/>
          <w14:textFill>
            <w14:solidFill>
              <w14:schemeClr w14:val="tx1"/>
            </w14:solidFill>
          </w14:textFill>
        </w:rPr>
        <w:t>.污染物排放总量</w:t>
      </w:r>
    </w:p>
    <w:p w14:paraId="2439C00E">
      <w:pPr>
        <w:pStyle w:val="35"/>
        <w:spacing w:before="0" w:beforeAutospacing="0" w:after="0" w:afterAutospacing="0" w:line="360" w:lineRule="auto"/>
        <w:ind w:firstLine="480" w:firstLineChars="200"/>
        <w:jc w:val="both"/>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themeColor="text1"/>
          <w:lang w:val="en-US" w:eastAsia="zh-CN"/>
          <w14:textFill>
            <w14:solidFill>
              <w14:schemeClr w14:val="tx1"/>
            </w14:solidFill>
          </w14:textFill>
        </w:rPr>
        <w:t>根据环评报告中预测计算，项目安装汽油卸、加油和储油油气三次回收系统后，VOCs（以非甲烷总烃表征）损失量为0.342t/a，以无组织形式排放，同时根据《</w:t>
      </w:r>
      <w:r>
        <w:rPr>
          <w:rFonts w:hint="default" w:ascii="Times New Roman" w:hAnsi="Times New Roman" w:eastAsia="宋体" w:cs="Times New Roman"/>
          <w:lang w:eastAsia="zh-CN"/>
        </w:rPr>
        <w:t>招远市白天鹅加油站项目</w:t>
      </w:r>
      <w:r>
        <w:rPr>
          <w:rFonts w:hint="default" w:ascii="Times New Roman" w:hAnsi="Times New Roman" w:eastAsia="宋体" w:cs="Times New Roman"/>
          <w:lang w:val="en-US" w:eastAsia="zh-CN"/>
        </w:rPr>
        <w:t>审批意见</w:t>
      </w:r>
      <w:r>
        <w:rPr>
          <w:rFonts w:hint="default" w:ascii="Times New Roman" w:hAnsi="Times New Roman" w:eastAsia="宋体" w:cs="Times New Roman"/>
          <w:color w:val="000000" w:themeColor="text1"/>
          <w:lang w:val="en-US" w:eastAsia="zh-CN"/>
          <w14:textFill>
            <w14:solidFill>
              <w14:schemeClr w14:val="tx1"/>
            </w14:solidFill>
          </w14:textFill>
        </w:rPr>
        <w:t>》(烟台市生态环境局招远分局，2019年6月10日)，本项目VOCs总量指标为0.342ta。由于加油站VOCs无组织排放量无法根据监测数据进行核算，项目实际安装了汽油卸、加油和储油油气三次回收系统，而且根据检测报告(报告编号:HW20250365)，三次油气回收装置出口处油气平均值浓度为14.6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，符合《加油站大气污染物排放标准》(GB20952-2020)中要求(25g/m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)，据此分析，项目在油气回收装置正常运行的前提下，VOCs（以非甲烷总烃表征）无组织排放量可满足总量控制指标要求。</w:t>
      </w:r>
    </w:p>
    <w:p w14:paraId="1870F29E">
      <w:pPr>
        <w:pStyle w:val="20"/>
        <w:spacing w:before="0" w:beforeAutospacing="0" w:after="0" w:afterAutospacing="0" w:line="360" w:lineRule="auto"/>
        <w:ind w:firstLine="482" w:firstLineChars="200"/>
        <w:jc w:val="both"/>
        <w:outlineLvl w:val="0"/>
        <w:rPr>
          <w:rFonts w:hint="default" w:ascii="Times New Roman" w:hAnsi="Times New Roman" w:eastAsia="宋体" w:cs="Times New Roman"/>
          <w:b/>
          <w:bCs/>
          <w:color w:val="000000" w:themeColor="text1"/>
          <w:highlight w:val="none"/>
          <w14:textFill>
            <w14:solidFill>
              <w14:schemeClr w14:val="tx1"/>
            </w14:solidFill>
          </w14:textFill>
        </w:rPr>
      </w:pPr>
      <w:r>
        <w:rPr>
          <w:rFonts w:hint="default" w:ascii="Times New Roman" w:hAnsi="Times New Roman" w:eastAsia="宋体" w:cs="Times New Roman"/>
          <w:b/>
          <w:bCs/>
          <w:color w:val="000000" w:themeColor="text1"/>
          <w:highlight w:val="none"/>
          <w:lang w:val="en-US" w:eastAsia="zh-CN"/>
          <w14:textFill>
            <w14:solidFill>
              <w14:schemeClr w14:val="tx1"/>
            </w14:solidFill>
          </w14:textFill>
        </w:rPr>
        <w:t>五</w:t>
      </w:r>
      <w:r>
        <w:rPr>
          <w:rFonts w:hint="default" w:ascii="Times New Roman" w:hAnsi="Times New Roman" w:eastAsia="宋体" w:cs="Times New Roman"/>
          <w:b/>
          <w:bCs/>
          <w:color w:val="000000" w:themeColor="text1"/>
          <w:highlight w:val="none"/>
          <w14:textFill>
            <w14:solidFill>
              <w14:schemeClr w14:val="tx1"/>
            </w14:solidFill>
          </w14:textFill>
        </w:rPr>
        <w:t>、验收结论</w:t>
      </w:r>
    </w:p>
    <w:p w14:paraId="2F30CA41">
      <w:pPr>
        <w:pStyle w:val="20"/>
        <w:spacing w:beforeAutospacing="0" w:after="0" w:afterAutospacing="0" w:line="360" w:lineRule="auto"/>
        <w:ind w:firstLine="480" w:firstLineChars="200"/>
        <w:jc w:val="both"/>
        <w:rPr>
          <w:rFonts w:hint="default" w:ascii="Times New Roman" w:hAnsi="Times New Roman" w:eastAsia="宋体" w:cs="Times New Roman"/>
          <w:color w:val="000000"/>
        </w:rPr>
      </w:pPr>
      <w:r>
        <w:rPr>
          <w:rFonts w:hint="default" w:ascii="Times New Roman" w:hAnsi="Times New Roman" w:eastAsia="宋体" w:cs="Times New Roman"/>
          <w:color w:val="000000"/>
        </w:rPr>
        <w:t>本期项目环境保护手续齐全，执行了环境保护“三同时”制度，落实了环评提出的污染防治措施，废</w:t>
      </w:r>
      <w:r>
        <w:rPr>
          <w:rFonts w:hint="default" w:ascii="Times New Roman" w:hAnsi="Times New Roman" w:eastAsia="宋体" w:cs="Times New Roman"/>
          <w:color w:val="000000"/>
          <w:lang w:val="en-US" w:eastAsia="zh-CN"/>
        </w:rPr>
        <w:t>气</w:t>
      </w:r>
      <w:r>
        <w:rPr>
          <w:rFonts w:hint="default" w:ascii="Times New Roman" w:hAnsi="Times New Roman" w:eastAsia="宋体" w:cs="Times New Roman"/>
          <w:color w:val="000000"/>
        </w:rPr>
        <w:t>、噪声等主要外排污染物均达到国家或地方有关标准要求，废水和固废去向明确。按照建设项目竣工环境保护验收的有关规定，可以通过建设项目竣工环境保护验收。</w:t>
      </w:r>
    </w:p>
    <w:p w14:paraId="69B102AF">
      <w:pPr>
        <w:adjustRightInd/>
        <w:snapToGrid/>
        <w:spacing w:after="0" w:line="360" w:lineRule="auto"/>
        <w:ind w:firstLine="482" w:firstLineChars="200"/>
        <w:jc w:val="both"/>
        <w:outlineLvl w:val="0"/>
        <w:rPr>
          <w:rFonts w:hint="default" w:ascii="Times New Roman" w:hAnsi="Times New Roman" w:eastAsia="宋体" w:cs="Times New Roman"/>
          <w:b/>
          <w:bCs/>
          <w:sz w:val="24"/>
          <w:szCs w:val="24"/>
          <w:highlight w:val="none"/>
        </w:rPr>
      </w:pPr>
      <w:r>
        <w:rPr>
          <w:rFonts w:hint="default" w:ascii="Times New Roman" w:hAnsi="Times New Roman" w:eastAsia="宋体" w:cs="Times New Roman"/>
          <w:b/>
          <w:bCs/>
          <w:sz w:val="24"/>
          <w:szCs w:val="24"/>
          <w:highlight w:val="none"/>
          <w:lang w:val="en-US" w:eastAsia="zh-CN"/>
        </w:rPr>
        <w:t>六</w:t>
      </w:r>
      <w:r>
        <w:rPr>
          <w:rFonts w:hint="default" w:ascii="Times New Roman" w:hAnsi="Times New Roman" w:eastAsia="宋体" w:cs="Times New Roman"/>
          <w:b/>
          <w:bCs/>
          <w:sz w:val="24"/>
          <w:szCs w:val="24"/>
          <w:highlight w:val="none"/>
        </w:rPr>
        <w:t>、后续要求</w:t>
      </w:r>
    </w:p>
    <w:p w14:paraId="7667BF76">
      <w:pPr>
        <w:spacing w:after="0"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1、加强日常环保管理，加强废气、废水治理设施的维护管理，制定监测计划并定期监测，确保废气、废水、噪声长期稳定达标排放。</w:t>
      </w:r>
    </w:p>
    <w:p w14:paraId="0D4D8C50">
      <w:pPr>
        <w:spacing w:after="0"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2、危险废物分类收集暂存，及时委托有资质单位合理处置。</w:t>
      </w:r>
    </w:p>
    <w:p w14:paraId="56F2CF1C">
      <w:pPr>
        <w:adjustRightInd/>
        <w:snapToGrid/>
        <w:spacing w:after="0" w:line="360" w:lineRule="auto"/>
        <w:ind w:firstLine="482" w:firstLineChars="200"/>
        <w:jc w:val="both"/>
        <w:outlineLvl w:val="0"/>
        <w:rPr>
          <w:rFonts w:hint="default" w:ascii="Times New Roman" w:hAnsi="Times New Roman" w:eastAsia="宋体" w:cs="Times New Roman"/>
          <w:b/>
          <w:bCs/>
          <w:sz w:val="24"/>
          <w:szCs w:val="24"/>
          <w:highlight w:val="none"/>
          <w:lang w:val="en-US" w:eastAsia="zh-CN"/>
        </w:rPr>
      </w:pPr>
      <w:r>
        <w:rPr>
          <w:rFonts w:hint="default" w:ascii="Times New Roman" w:hAnsi="Times New Roman" w:eastAsia="宋体" w:cs="Times New Roman"/>
          <w:b/>
          <w:bCs/>
          <w:sz w:val="24"/>
          <w:szCs w:val="24"/>
          <w:highlight w:val="none"/>
          <w:lang w:val="en-US" w:eastAsia="zh-CN"/>
        </w:rPr>
        <w:t>七</w:t>
      </w:r>
      <w:r>
        <w:rPr>
          <w:rFonts w:hint="default" w:ascii="Times New Roman" w:hAnsi="Times New Roman" w:eastAsia="宋体" w:cs="Times New Roman"/>
          <w:b/>
          <w:bCs/>
          <w:sz w:val="24"/>
          <w:szCs w:val="24"/>
          <w:highlight w:val="none"/>
        </w:rPr>
        <w:t>、</w:t>
      </w:r>
      <w:r>
        <w:rPr>
          <w:rFonts w:hint="default" w:ascii="Times New Roman" w:hAnsi="Times New Roman" w:eastAsia="宋体" w:cs="Times New Roman"/>
          <w:b/>
          <w:bCs/>
          <w:sz w:val="24"/>
          <w:szCs w:val="24"/>
          <w:highlight w:val="none"/>
          <w:lang w:val="en-US" w:eastAsia="zh-CN"/>
        </w:rPr>
        <w:t>验收组人员信息</w:t>
      </w:r>
    </w:p>
    <w:p w14:paraId="24B74252">
      <w:pPr>
        <w:adjustRightInd/>
        <w:snapToGrid/>
        <w:spacing w:after="0" w:line="360" w:lineRule="auto"/>
        <w:ind w:firstLine="480" w:firstLineChars="200"/>
        <w:jc w:val="both"/>
        <w:outlineLvl w:val="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验收组人员信息见验收组成员名单表。</w:t>
      </w:r>
    </w:p>
    <w:p w14:paraId="6884F3FD">
      <w:pPr>
        <w:pStyle w:val="3"/>
        <w:rPr>
          <w:rFonts w:hint="default" w:ascii="Times New Roman" w:hAnsi="Times New Roman" w:eastAsia="宋体" w:cs="Times New Roman"/>
          <w:lang w:val="en-US" w:eastAsia="zh-CN"/>
        </w:rPr>
      </w:pPr>
    </w:p>
    <w:p w14:paraId="24825757">
      <w:pPr>
        <w:pStyle w:val="20"/>
        <w:spacing w:before="0" w:beforeAutospacing="0" w:after="0" w:afterAutospacing="0" w:line="360" w:lineRule="auto"/>
        <w:ind w:firstLine="480" w:firstLineChars="200"/>
        <w:jc w:val="right"/>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验收工作组</w:t>
      </w:r>
    </w:p>
    <w:p w14:paraId="347A5907">
      <w:pPr>
        <w:pStyle w:val="20"/>
        <w:spacing w:before="0" w:beforeAutospacing="0" w:after="0" w:afterAutospacing="0" w:line="360" w:lineRule="auto"/>
        <w:ind w:firstLine="480" w:firstLineChars="200"/>
        <w:jc w:val="right"/>
        <w:rPr>
          <w:rFonts w:hint="default" w:ascii="Times New Roman" w:hAnsi="Times New Roman" w:eastAsia="宋体" w:cs="Times New Roman"/>
          <w:highlight w:val="none"/>
        </w:rPr>
      </w:pPr>
      <w:r>
        <w:rPr>
          <w:rFonts w:hint="default" w:ascii="Times New Roman" w:hAnsi="Times New Roman" w:eastAsia="宋体" w:cs="Times New Roman"/>
          <w:highlight w:val="none"/>
        </w:rPr>
        <w:t>20</w:t>
      </w:r>
      <w:r>
        <w:rPr>
          <w:rFonts w:hint="default" w:ascii="Times New Roman" w:hAnsi="Times New Roman" w:eastAsia="宋体" w:cs="Times New Roman"/>
          <w:highlight w:val="none"/>
          <w:lang w:val="en-US" w:eastAsia="zh-CN"/>
        </w:rPr>
        <w:t>25</w:t>
      </w:r>
      <w:r>
        <w:rPr>
          <w:rFonts w:hint="default" w:ascii="Times New Roman" w:hAnsi="Times New Roman" w:eastAsia="宋体" w:cs="Times New Roman"/>
          <w:highlight w:val="none"/>
        </w:rPr>
        <w:t>年</w:t>
      </w:r>
      <w:r>
        <w:rPr>
          <w:rFonts w:hint="default" w:ascii="Times New Roman" w:hAnsi="Times New Roman" w:eastAsia="宋体" w:cs="Times New Roman"/>
          <w:highlight w:val="none"/>
          <w:lang w:val="en-US" w:eastAsia="zh-CN"/>
        </w:rPr>
        <w:t>4</w:t>
      </w:r>
      <w:r>
        <w:rPr>
          <w:rFonts w:hint="default" w:ascii="Times New Roman" w:hAnsi="Times New Roman" w:eastAsia="宋体" w:cs="Times New Roman"/>
          <w:highlight w:val="none"/>
        </w:rPr>
        <w:t>月</w:t>
      </w:r>
      <w:r>
        <w:rPr>
          <w:rFonts w:hint="default" w:ascii="Times New Roman" w:hAnsi="Times New Roman" w:eastAsia="宋体" w:cs="Times New Roman"/>
          <w:highlight w:val="none"/>
          <w:lang w:val="en-US" w:eastAsia="zh-CN"/>
        </w:rPr>
        <w:t>1</w:t>
      </w:r>
      <w:r>
        <w:rPr>
          <w:rFonts w:hint="eastAsia" w:ascii="Times New Roman" w:hAnsi="Times New Roman" w:cs="Times New Roman"/>
          <w:highlight w:val="none"/>
          <w:lang w:val="en-US" w:eastAsia="zh-CN"/>
        </w:rPr>
        <w:t>4</w:t>
      </w:r>
      <w:r>
        <w:rPr>
          <w:rFonts w:hint="default" w:ascii="Times New Roman" w:hAnsi="Times New Roman" w:eastAsia="宋体" w:cs="Times New Roman"/>
          <w:highlight w:val="none"/>
        </w:rPr>
        <w:t>日</w:t>
      </w:r>
    </w:p>
    <w:sectPr>
      <w:footerReference r:id="rId4" w:type="default"/>
      <w:pgSz w:w="11906" w:h="16838"/>
      <w:pgMar w:top="1440" w:right="1531" w:bottom="1440" w:left="1588" w:header="851" w:footer="39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6921"/>
      <w:docPartObj>
        <w:docPartGallery w:val="autotext"/>
      </w:docPartObj>
    </w:sdtPr>
    <w:sdtContent>
      <w:p w14:paraId="34760D8F">
        <w:pPr>
          <w:pStyle w:val="11"/>
          <w:jc w:val="center"/>
        </w:pPr>
        <w:r>
          <w:fldChar w:fldCharType="begin"/>
        </w:r>
        <w:r>
          <w:instrText xml:space="preserve"> PAGE   \* MERGEFORMAT </w:instrText>
        </w:r>
        <w:r>
          <w:fldChar w:fldCharType="separate"/>
        </w:r>
        <w:r>
          <w:rPr>
            <w:lang w:val="zh-CN"/>
          </w:rPr>
          <w:t>1</w:t>
        </w:r>
        <w:r>
          <w:rPr>
            <w:lang w:val="zh-CN"/>
          </w:rPr>
          <w:fldChar w:fldCharType="end"/>
        </w:r>
      </w:p>
    </w:sdtContent>
  </w:sdt>
  <w:p w14:paraId="30410CCB">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mZmZiNjg2OTU0MTc1Y2Y3MzhhNDQ4MDM2MGZkNzkifQ=="/>
  </w:docVars>
  <w:rsids>
    <w:rsidRoot w:val="004F7D90"/>
    <w:rsid w:val="00016754"/>
    <w:rsid w:val="000167D5"/>
    <w:rsid w:val="000318FF"/>
    <w:rsid w:val="00034195"/>
    <w:rsid w:val="000349C3"/>
    <w:rsid w:val="00060675"/>
    <w:rsid w:val="000649CC"/>
    <w:rsid w:val="00066C32"/>
    <w:rsid w:val="00076E67"/>
    <w:rsid w:val="000830EF"/>
    <w:rsid w:val="000C51B7"/>
    <w:rsid w:val="000E5A53"/>
    <w:rsid w:val="000F2D9D"/>
    <w:rsid w:val="001000BA"/>
    <w:rsid w:val="001100B4"/>
    <w:rsid w:val="00143AF0"/>
    <w:rsid w:val="00160FA9"/>
    <w:rsid w:val="001761F0"/>
    <w:rsid w:val="00194A47"/>
    <w:rsid w:val="001A4FBD"/>
    <w:rsid w:val="001B4CDE"/>
    <w:rsid w:val="001C6849"/>
    <w:rsid w:val="001D3308"/>
    <w:rsid w:val="001D410E"/>
    <w:rsid w:val="001E3C1B"/>
    <w:rsid w:val="001F4157"/>
    <w:rsid w:val="00222A22"/>
    <w:rsid w:val="00234FEA"/>
    <w:rsid w:val="00241164"/>
    <w:rsid w:val="002754C1"/>
    <w:rsid w:val="002964DA"/>
    <w:rsid w:val="002B1824"/>
    <w:rsid w:val="00304D65"/>
    <w:rsid w:val="003166D4"/>
    <w:rsid w:val="00326F24"/>
    <w:rsid w:val="0034227C"/>
    <w:rsid w:val="00347E48"/>
    <w:rsid w:val="00363BD5"/>
    <w:rsid w:val="00371D2E"/>
    <w:rsid w:val="003724F9"/>
    <w:rsid w:val="00382FA8"/>
    <w:rsid w:val="003873FA"/>
    <w:rsid w:val="003944D5"/>
    <w:rsid w:val="003D59DA"/>
    <w:rsid w:val="003E2BF0"/>
    <w:rsid w:val="00430488"/>
    <w:rsid w:val="00433A8A"/>
    <w:rsid w:val="004367E8"/>
    <w:rsid w:val="00481C0E"/>
    <w:rsid w:val="00486D9C"/>
    <w:rsid w:val="004A0520"/>
    <w:rsid w:val="004C65E5"/>
    <w:rsid w:val="004E24D6"/>
    <w:rsid w:val="004E4811"/>
    <w:rsid w:val="004F6D2B"/>
    <w:rsid w:val="004F7D90"/>
    <w:rsid w:val="00503532"/>
    <w:rsid w:val="00512CC4"/>
    <w:rsid w:val="0052079D"/>
    <w:rsid w:val="005309C3"/>
    <w:rsid w:val="00535C94"/>
    <w:rsid w:val="00563386"/>
    <w:rsid w:val="00567D1B"/>
    <w:rsid w:val="00597013"/>
    <w:rsid w:val="005A19CE"/>
    <w:rsid w:val="005A4D3F"/>
    <w:rsid w:val="005C64D7"/>
    <w:rsid w:val="005D3C2C"/>
    <w:rsid w:val="006141B4"/>
    <w:rsid w:val="006149CC"/>
    <w:rsid w:val="00647C92"/>
    <w:rsid w:val="006607BA"/>
    <w:rsid w:val="006831EC"/>
    <w:rsid w:val="006B0D4E"/>
    <w:rsid w:val="006B1375"/>
    <w:rsid w:val="006E3D53"/>
    <w:rsid w:val="00731554"/>
    <w:rsid w:val="007D1582"/>
    <w:rsid w:val="007F4747"/>
    <w:rsid w:val="00824402"/>
    <w:rsid w:val="0082537E"/>
    <w:rsid w:val="00825533"/>
    <w:rsid w:val="00840739"/>
    <w:rsid w:val="00851187"/>
    <w:rsid w:val="008552DF"/>
    <w:rsid w:val="0085774E"/>
    <w:rsid w:val="00880607"/>
    <w:rsid w:val="009140F6"/>
    <w:rsid w:val="009436DF"/>
    <w:rsid w:val="00947C90"/>
    <w:rsid w:val="009655CA"/>
    <w:rsid w:val="00990DB8"/>
    <w:rsid w:val="009A7ADA"/>
    <w:rsid w:val="009F2061"/>
    <w:rsid w:val="00A00303"/>
    <w:rsid w:val="00A61A22"/>
    <w:rsid w:val="00A65705"/>
    <w:rsid w:val="00A84238"/>
    <w:rsid w:val="00A8689B"/>
    <w:rsid w:val="00AA745E"/>
    <w:rsid w:val="00AC1B06"/>
    <w:rsid w:val="00B11E92"/>
    <w:rsid w:val="00B37B51"/>
    <w:rsid w:val="00B47179"/>
    <w:rsid w:val="00B53363"/>
    <w:rsid w:val="00B66397"/>
    <w:rsid w:val="00B805D2"/>
    <w:rsid w:val="00B815D0"/>
    <w:rsid w:val="00BC51E3"/>
    <w:rsid w:val="00BE33F6"/>
    <w:rsid w:val="00C0440B"/>
    <w:rsid w:val="00C20023"/>
    <w:rsid w:val="00C879A0"/>
    <w:rsid w:val="00C92F14"/>
    <w:rsid w:val="00C93062"/>
    <w:rsid w:val="00CE52D2"/>
    <w:rsid w:val="00CE5B0F"/>
    <w:rsid w:val="00D35724"/>
    <w:rsid w:val="00D6169E"/>
    <w:rsid w:val="00D70CBD"/>
    <w:rsid w:val="00D723B8"/>
    <w:rsid w:val="00DB4F90"/>
    <w:rsid w:val="00DE5FC2"/>
    <w:rsid w:val="00DF5FBE"/>
    <w:rsid w:val="00DF6FDA"/>
    <w:rsid w:val="00E10CE8"/>
    <w:rsid w:val="00E316BF"/>
    <w:rsid w:val="00E532B5"/>
    <w:rsid w:val="00E63E1D"/>
    <w:rsid w:val="00E71CC6"/>
    <w:rsid w:val="00EA7149"/>
    <w:rsid w:val="00EB6856"/>
    <w:rsid w:val="00ED10A4"/>
    <w:rsid w:val="00EE7F2E"/>
    <w:rsid w:val="00F65DFF"/>
    <w:rsid w:val="00F71CEC"/>
    <w:rsid w:val="00FB308C"/>
    <w:rsid w:val="00FE39F7"/>
    <w:rsid w:val="010D5DAF"/>
    <w:rsid w:val="03D54BEC"/>
    <w:rsid w:val="0A515E7F"/>
    <w:rsid w:val="0BC32925"/>
    <w:rsid w:val="0D3B7054"/>
    <w:rsid w:val="12D17C87"/>
    <w:rsid w:val="130950BC"/>
    <w:rsid w:val="142A2B38"/>
    <w:rsid w:val="16F346A7"/>
    <w:rsid w:val="176D4157"/>
    <w:rsid w:val="1BAD1849"/>
    <w:rsid w:val="1D04167C"/>
    <w:rsid w:val="1F5C3288"/>
    <w:rsid w:val="22FE297E"/>
    <w:rsid w:val="235D2E2C"/>
    <w:rsid w:val="2375480F"/>
    <w:rsid w:val="24450BA0"/>
    <w:rsid w:val="25C50AC4"/>
    <w:rsid w:val="25E45402"/>
    <w:rsid w:val="265D7600"/>
    <w:rsid w:val="278340BA"/>
    <w:rsid w:val="281A0FB5"/>
    <w:rsid w:val="28BA5865"/>
    <w:rsid w:val="2B2A0DB9"/>
    <w:rsid w:val="2B492C6B"/>
    <w:rsid w:val="2E5D1507"/>
    <w:rsid w:val="2EAC3D8A"/>
    <w:rsid w:val="2EBD0C5C"/>
    <w:rsid w:val="301F3CFF"/>
    <w:rsid w:val="30C4655E"/>
    <w:rsid w:val="31B26035"/>
    <w:rsid w:val="31B33DBF"/>
    <w:rsid w:val="32E20D33"/>
    <w:rsid w:val="36F23413"/>
    <w:rsid w:val="38995A29"/>
    <w:rsid w:val="393F2601"/>
    <w:rsid w:val="3C45115C"/>
    <w:rsid w:val="3C6B0685"/>
    <w:rsid w:val="3EB76D18"/>
    <w:rsid w:val="3FCA7432"/>
    <w:rsid w:val="3FF929B3"/>
    <w:rsid w:val="45221FE3"/>
    <w:rsid w:val="45741ECC"/>
    <w:rsid w:val="47124153"/>
    <w:rsid w:val="48BB1BAE"/>
    <w:rsid w:val="48E268C5"/>
    <w:rsid w:val="4AB303EE"/>
    <w:rsid w:val="4AFC0397"/>
    <w:rsid w:val="4B9606BA"/>
    <w:rsid w:val="4CF35531"/>
    <w:rsid w:val="4DE856A4"/>
    <w:rsid w:val="4E2B00E1"/>
    <w:rsid w:val="4F05091E"/>
    <w:rsid w:val="577C4EEC"/>
    <w:rsid w:val="584902EA"/>
    <w:rsid w:val="59911707"/>
    <w:rsid w:val="5CD17F4E"/>
    <w:rsid w:val="5E6F3A4B"/>
    <w:rsid w:val="617E5CD8"/>
    <w:rsid w:val="633D5106"/>
    <w:rsid w:val="64593D94"/>
    <w:rsid w:val="663964A8"/>
    <w:rsid w:val="66527760"/>
    <w:rsid w:val="68AC7B14"/>
    <w:rsid w:val="6B6D04F5"/>
    <w:rsid w:val="6C9E5A43"/>
    <w:rsid w:val="6CFC5052"/>
    <w:rsid w:val="6E767D5E"/>
    <w:rsid w:val="6E7D2438"/>
    <w:rsid w:val="7131614B"/>
    <w:rsid w:val="72F54CFE"/>
    <w:rsid w:val="75FD4DA7"/>
    <w:rsid w:val="76DF397F"/>
    <w:rsid w:val="77605A91"/>
    <w:rsid w:val="77B91565"/>
    <w:rsid w:val="79733C7B"/>
    <w:rsid w:val="79F10352"/>
    <w:rsid w:val="7A4D4C02"/>
    <w:rsid w:val="7B437A36"/>
    <w:rsid w:val="7CF60FF8"/>
    <w:rsid w:val="7EE516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kern w:val="0"/>
      <w:sz w:val="22"/>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qFormat/>
    <w:uiPriority w:val="0"/>
    <w:pPr>
      <w:keepNext/>
      <w:keepLines/>
      <w:widowControl/>
      <w:spacing w:before="260" w:after="260" w:line="416" w:lineRule="auto"/>
      <w:jc w:val="left"/>
      <w:outlineLvl w:val="2"/>
    </w:pPr>
    <w:rPr>
      <w:b/>
      <w:kern w:val="0"/>
      <w:sz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sz w:val="28"/>
    </w:rPr>
  </w:style>
  <w:style w:type="paragraph" w:styleId="5">
    <w:name w:val="Body Text First Indent 2"/>
    <w:basedOn w:val="6"/>
    <w:next w:val="1"/>
    <w:qFormat/>
    <w:uiPriority w:val="0"/>
    <w:pPr>
      <w:ind w:firstLine="420" w:firstLineChars="200"/>
    </w:pPr>
  </w:style>
  <w:style w:type="paragraph" w:styleId="6">
    <w:name w:val="Body Text Indent"/>
    <w:basedOn w:val="1"/>
    <w:next w:val="1"/>
    <w:qFormat/>
    <w:uiPriority w:val="0"/>
    <w:pPr>
      <w:spacing w:after="120"/>
      <w:ind w:left="420" w:leftChars="200"/>
    </w:p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27"/>
    <w:semiHidden/>
    <w:unhideWhenUsed/>
    <w:qFormat/>
    <w:uiPriority w:val="99"/>
  </w:style>
  <w:style w:type="paragraph" w:styleId="9">
    <w:name w:val="Body Text"/>
    <w:basedOn w:val="1"/>
    <w:link w:val="23"/>
    <w:semiHidden/>
    <w:unhideWhenUsed/>
    <w:qFormat/>
    <w:uiPriority w:val="99"/>
    <w:pPr>
      <w:spacing w:after="120"/>
    </w:pPr>
  </w:style>
  <w:style w:type="paragraph" w:styleId="10">
    <w:name w:val="Balloon Text"/>
    <w:basedOn w:val="1"/>
    <w:link w:val="29"/>
    <w:semiHidden/>
    <w:unhideWhenUsed/>
    <w:qFormat/>
    <w:uiPriority w:val="99"/>
    <w:pPr>
      <w:spacing w:after="0"/>
    </w:pPr>
    <w:rPr>
      <w:sz w:val="18"/>
      <w:szCs w:val="18"/>
    </w:rPr>
  </w:style>
  <w:style w:type="paragraph" w:styleId="11">
    <w:name w:val="footer"/>
    <w:basedOn w:val="1"/>
    <w:link w:val="26"/>
    <w:unhideWhenUsed/>
    <w:qFormat/>
    <w:uiPriority w:val="99"/>
    <w:pPr>
      <w:tabs>
        <w:tab w:val="center" w:pos="4153"/>
        <w:tab w:val="right" w:pos="8306"/>
      </w:tabs>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jc w:val="center"/>
    </w:pPr>
    <w:rPr>
      <w:sz w:val="18"/>
      <w:szCs w:val="18"/>
    </w:rPr>
  </w:style>
  <w:style w:type="paragraph" w:styleId="13">
    <w:name w:val="Normal (Web)"/>
    <w:basedOn w:val="1"/>
    <w:unhideWhenUsed/>
    <w:qFormat/>
    <w:uiPriority w:val="99"/>
    <w:pPr>
      <w:spacing w:before="100" w:beforeAutospacing="1" w:after="100" w:afterAutospacing="1"/>
    </w:pPr>
    <w:rPr>
      <w:sz w:val="24"/>
    </w:rPr>
  </w:style>
  <w:style w:type="paragraph" w:styleId="14">
    <w:name w:val="annotation subject"/>
    <w:basedOn w:val="8"/>
    <w:next w:val="8"/>
    <w:link w:val="28"/>
    <w:semiHidden/>
    <w:unhideWhenUsed/>
    <w:qFormat/>
    <w:uiPriority w:val="99"/>
    <w:rPr>
      <w:b/>
      <w:bCs/>
    </w:rPr>
  </w:style>
  <w:style w:type="character" w:styleId="17">
    <w:name w:val="page number"/>
    <w:basedOn w:val="16"/>
    <w:qFormat/>
    <w:uiPriority w:val="0"/>
  </w:style>
  <w:style w:type="character" w:styleId="18">
    <w:name w:val="annotation reference"/>
    <w:basedOn w:val="16"/>
    <w:semiHidden/>
    <w:unhideWhenUsed/>
    <w:qFormat/>
    <w:uiPriority w:val="99"/>
    <w:rPr>
      <w:sz w:val="21"/>
      <w:szCs w:val="21"/>
    </w:rPr>
  </w:style>
  <w:style w:type="paragraph" w:customStyle="1" w:styleId="19">
    <w:name w:val="样式 正文缩进正文缩进2正文缩进 Char Char正文缩进 Char Char Char Char正文缩进 Char ..."/>
    <w:basedOn w:val="4"/>
    <w:qFormat/>
    <w:uiPriority w:val="0"/>
    <w:pPr>
      <w:spacing w:line="360" w:lineRule="auto"/>
      <w:ind w:firstLine="200"/>
    </w:pPr>
    <w:rPr>
      <w:rFonts w:cs="宋体"/>
      <w:sz w:val="24"/>
    </w:rPr>
  </w:style>
  <w:style w:type="paragraph" w:customStyle="1" w:styleId="20">
    <w:name w:val="普通(网站)1"/>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21">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22">
    <w:name w:val="样式 正文文本 + 首行缩进:  2 字符"/>
    <w:basedOn w:val="1"/>
    <w:qFormat/>
    <w:uiPriority w:val="0"/>
    <w:pPr>
      <w:widowControl w:val="0"/>
      <w:adjustRightInd/>
      <w:snapToGrid/>
      <w:spacing w:after="0" w:line="360" w:lineRule="auto"/>
      <w:ind w:firstLine="480" w:firstLineChars="200"/>
      <w:jc w:val="both"/>
    </w:pPr>
    <w:rPr>
      <w:rFonts w:ascii="Times New Roman" w:hAnsi="Times New Roman" w:eastAsia="宋体"/>
      <w:kern w:val="2"/>
      <w:sz w:val="24"/>
      <w:szCs w:val="24"/>
    </w:rPr>
  </w:style>
  <w:style w:type="character" w:customStyle="1" w:styleId="23">
    <w:name w:val="正文文本 Char"/>
    <w:basedOn w:val="16"/>
    <w:link w:val="9"/>
    <w:semiHidden/>
    <w:qFormat/>
    <w:uiPriority w:val="99"/>
    <w:rPr>
      <w:rFonts w:ascii="Tahoma" w:hAnsi="Tahoma" w:eastAsia="微软雅黑" w:cs="Times New Roman"/>
      <w:kern w:val="0"/>
      <w:sz w:val="22"/>
    </w:rPr>
  </w:style>
  <w:style w:type="paragraph" w:customStyle="1" w:styleId="24">
    <w:name w:val="p0"/>
    <w:basedOn w:val="1"/>
    <w:qFormat/>
    <w:uiPriority w:val="0"/>
    <w:pPr>
      <w:adjustRightInd/>
      <w:snapToGrid/>
      <w:spacing w:after="0"/>
      <w:jc w:val="both"/>
    </w:pPr>
    <w:rPr>
      <w:rFonts w:ascii="Times New Roman" w:hAnsi="Times New Roman" w:eastAsia="宋体"/>
      <w:sz w:val="21"/>
      <w:szCs w:val="21"/>
    </w:rPr>
  </w:style>
  <w:style w:type="character" w:customStyle="1" w:styleId="25">
    <w:name w:val="页眉 Char"/>
    <w:basedOn w:val="16"/>
    <w:link w:val="12"/>
    <w:qFormat/>
    <w:uiPriority w:val="99"/>
    <w:rPr>
      <w:rFonts w:ascii="Tahoma" w:hAnsi="Tahoma" w:eastAsia="微软雅黑" w:cs="Times New Roman"/>
      <w:kern w:val="0"/>
      <w:sz w:val="18"/>
      <w:szCs w:val="18"/>
    </w:rPr>
  </w:style>
  <w:style w:type="character" w:customStyle="1" w:styleId="26">
    <w:name w:val="页脚 Char"/>
    <w:basedOn w:val="16"/>
    <w:link w:val="11"/>
    <w:qFormat/>
    <w:uiPriority w:val="99"/>
    <w:rPr>
      <w:rFonts w:ascii="Tahoma" w:hAnsi="Tahoma" w:eastAsia="微软雅黑" w:cs="Times New Roman"/>
      <w:kern w:val="0"/>
      <w:sz w:val="18"/>
      <w:szCs w:val="18"/>
    </w:rPr>
  </w:style>
  <w:style w:type="character" w:customStyle="1" w:styleId="27">
    <w:name w:val="批注文字 Char"/>
    <w:basedOn w:val="16"/>
    <w:link w:val="8"/>
    <w:semiHidden/>
    <w:qFormat/>
    <w:uiPriority w:val="99"/>
    <w:rPr>
      <w:rFonts w:ascii="Tahoma" w:hAnsi="Tahoma" w:eastAsia="微软雅黑" w:cs="Times New Roman"/>
      <w:kern w:val="0"/>
      <w:sz w:val="22"/>
    </w:rPr>
  </w:style>
  <w:style w:type="character" w:customStyle="1" w:styleId="28">
    <w:name w:val="批注主题 Char"/>
    <w:basedOn w:val="27"/>
    <w:link w:val="14"/>
    <w:semiHidden/>
    <w:qFormat/>
    <w:uiPriority w:val="99"/>
    <w:rPr>
      <w:rFonts w:ascii="Tahoma" w:hAnsi="Tahoma" w:eastAsia="微软雅黑" w:cs="Times New Roman"/>
      <w:b/>
      <w:bCs/>
      <w:kern w:val="0"/>
      <w:sz w:val="22"/>
    </w:rPr>
  </w:style>
  <w:style w:type="character" w:customStyle="1" w:styleId="29">
    <w:name w:val="批注框文本 Char"/>
    <w:basedOn w:val="16"/>
    <w:link w:val="10"/>
    <w:semiHidden/>
    <w:qFormat/>
    <w:uiPriority w:val="99"/>
    <w:rPr>
      <w:rFonts w:ascii="Tahoma" w:hAnsi="Tahoma" w:eastAsia="微软雅黑" w:cs="Times New Roman"/>
      <w:kern w:val="0"/>
      <w:sz w:val="18"/>
      <w:szCs w:val="18"/>
    </w:rPr>
  </w:style>
  <w:style w:type="character" w:customStyle="1" w:styleId="30">
    <w:name w:val="文档结构图 Char"/>
    <w:basedOn w:val="16"/>
    <w:link w:val="7"/>
    <w:semiHidden/>
    <w:qFormat/>
    <w:uiPriority w:val="99"/>
    <w:rPr>
      <w:rFonts w:ascii="宋体" w:hAnsi="Tahoma" w:eastAsia="宋体" w:cs="Times New Roman"/>
      <w:kern w:val="0"/>
      <w:sz w:val="18"/>
      <w:szCs w:val="18"/>
    </w:rPr>
  </w:style>
  <w:style w:type="paragraph" w:customStyle="1" w:styleId="31">
    <w:name w:val="普通(网站)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2">
    <w:name w:val="正文--环评"/>
    <w:basedOn w:val="1"/>
    <w:qFormat/>
    <w:uiPriority w:val="0"/>
    <w:pPr>
      <w:spacing w:line="360" w:lineRule="auto"/>
    </w:pPr>
    <w:rPr>
      <w:rFonts w:cs="宋体"/>
      <w:color w:val="000000"/>
      <w:sz w:val="24"/>
      <w:szCs w:val="20"/>
    </w:rPr>
  </w:style>
  <w:style w:type="paragraph" w:customStyle="1" w:styleId="33">
    <w:name w:val="表格内容--环评"/>
    <w:basedOn w:val="1"/>
    <w:qFormat/>
    <w:uiPriority w:val="0"/>
    <w:pPr>
      <w:jc w:val="center"/>
    </w:pPr>
    <w:rPr>
      <w:rFonts w:cs="宋体"/>
      <w:szCs w:val="20"/>
    </w:rPr>
  </w:style>
  <w:style w:type="paragraph" w:customStyle="1" w:styleId="34">
    <w:name w:val="普通(网站)5"/>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5">
    <w:name w:val="普通(网站)3"/>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6">
    <w:name w:val="普通(网站)4"/>
    <w:basedOn w:val="1"/>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8E95D-8A65-49D9-89BB-A5E9760943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2802</Words>
  <Characters>3166</Characters>
  <Lines>24</Lines>
  <Paragraphs>6</Paragraphs>
  <TotalTime>2</TotalTime>
  <ScaleCrop>false</ScaleCrop>
  <LinksUpToDate>false</LinksUpToDate>
  <CharactersWithSpaces>3166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2019-04-17T02:42:00Z</dcterms:created>
  <dc:creator>zx</dc:creator>
  <cp:lastModifiedBy>可乐</cp:lastModifiedBy>
  <cp:lastPrinted>2024-07-18T00:07:00Z</cp:lastPrinted>
  <dcterms:modified xsi:type="dcterms:W3CDTF">2025-04-15T05:41:22Z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2DFB2FC1A0D643078C57C3165A8D71A1_13</vt:lpwstr>
  </property>
  <property fmtid="{D5CDD505-2E9C-101B-9397-08002B2CF9AE}" pid="4" name="KSOTemplateDocerSaveRecord">
    <vt:lpwstr>eyJoZGlkIjoiYmRmZmZiNjg2OTU0MTc1Y2Y3MzhhNDQ4MDM2MGZkNzkiLCJ1c2VySWQiOiI0MTg4MTA2MTkifQ==</vt:lpwstr>
  </property>
</Properties>
</file>